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C5B" w:rsidRDefault="00167C5B" w:rsidP="00167C5B">
      <w:pPr>
        <w:pStyle w:val="Standard"/>
        <w:rPr>
          <w:b/>
          <w:lang w:val="ru-RU"/>
        </w:rPr>
      </w:pPr>
      <w:r>
        <w:rPr>
          <w:b/>
          <w:lang w:val="ru-RU"/>
        </w:rPr>
        <w:t>Начало трансформации правовых систем в направление международного права</w:t>
      </w:r>
    </w:p>
    <w:p w:rsidR="00167C5B" w:rsidRDefault="00167C5B" w:rsidP="00167C5B">
      <w:pPr>
        <w:pStyle w:val="Standard"/>
        <w:rPr>
          <w:b/>
          <w:lang w:val="ru-RU"/>
        </w:rPr>
      </w:pPr>
    </w:p>
    <w:p w:rsidR="00167C5B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С того момента, когда Советский Союз прекратил свое существование, де юре все государства бывшего Советского Союза начали процесс трансформации правовых систем. Энтузиасты говорили о процессе активного закрепления универсальных норм международного права прав человека в национальных конституциях стран «новой демократии».</w:t>
      </w:r>
    </w:p>
    <w:p w:rsidR="00167C5B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Многие практики и теоретики международного и конституционного права называли территорию Восточной Европы того времени «лабораторией конституционных реформ».</w:t>
      </w:r>
      <w:r>
        <w:rPr>
          <w:rStyle w:val="FootnoteReference"/>
          <w:lang w:val="ru-RU"/>
        </w:rPr>
        <w:footnoteReference w:id="1"/>
      </w:r>
    </w:p>
    <w:p w:rsidR="00167C5B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В этот же период появилось значительное количество теоретических работ, посвященных вопросам введения международного права прав человека в качестве стандартов для «возрождающихся правовых систем». Все авторы признавали, что, освободившись от диктатуры коммунистической партии и ее наследия – низкой правовой культуры, недостаточногоуровня развития юридических инструментов и институтов, ограниченного числа юристов, владеющих концепцией судебной защиты прав человека, – страны неизбежно будут стремиться к воплощению международных норм в своих правовых системах.</w:t>
      </w:r>
    </w:p>
    <w:p w:rsidR="00167C5B" w:rsidRPr="00856E59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Прогнозировался длительный период трансформации, который российский профессор Э. Аметистов  назвал периодом «подготовки, образования и приспособления к новым реалиям»</w:t>
      </w:r>
      <w:r>
        <w:rPr>
          <w:rStyle w:val="FootnoteReference"/>
          <w:lang w:val="ru-RU"/>
        </w:rPr>
        <w:footnoteReference w:id="2"/>
      </w:r>
      <w:r>
        <w:rPr>
          <w:lang w:val="ru-RU"/>
        </w:rPr>
        <w:t>.</w:t>
      </w:r>
    </w:p>
    <w:p w:rsidR="00167C5B" w:rsidRPr="00856E59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Ряд историков, социологов и юристов, работающих в области международного права и международных отношений, заговорили о формировании «нового международного порядка»</w:t>
      </w:r>
      <w:r>
        <w:rPr>
          <w:rStyle w:val="FootnoteReference"/>
          <w:lang w:val="ru-RU"/>
        </w:rPr>
        <w:footnoteReference w:id="3"/>
      </w:r>
      <w:r>
        <w:rPr>
          <w:lang w:val="ru-RU"/>
        </w:rPr>
        <w:t>, «нового глобального права»</w:t>
      </w:r>
      <w:r>
        <w:rPr>
          <w:rStyle w:val="FootnoteSymbol"/>
          <w:lang w:val="ru-RU"/>
        </w:rPr>
        <w:footnoteReference w:id="4"/>
      </w:r>
      <w:r>
        <w:rPr>
          <w:lang w:val="ru-RU"/>
        </w:rPr>
        <w:t xml:space="preserve"> или о периоде «зрелого международного права»</w:t>
      </w:r>
      <w:r>
        <w:rPr>
          <w:rStyle w:val="FootnoteReference"/>
          <w:lang w:val="ru-RU"/>
        </w:rPr>
        <w:footnoteReference w:id="5"/>
      </w:r>
      <w:r>
        <w:rPr>
          <w:lang w:val="ru-RU"/>
        </w:rPr>
        <w:t>.</w:t>
      </w:r>
    </w:p>
    <w:p w:rsidR="00167C5B" w:rsidRPr="00856E59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Эксперты отмечали, что система защиты прав человека в этот период из «примитивной превратилась в развитую нормативную систему»</w:t>
      </w:r>
      <w:r>
        <w:rPr>
          <w:rStyle w:val="FootnoteReference"/>
          <w:lang w:val="ru-RU"/>
        </w:rPr>
        <w:footnoteReference w:id="6"/>
      </w:r>
      <w:r>
        <w:rPr>
          <w:lang w:val="ru-RU"/>
        </w:rPr>
        <w:t>, в которой прежние концепции международного права должны рассматриваться с точки зрения «свежих перспектив», что «требует отойти от терминологии, понятной лишь ученым-теоретикам», чтобы отыскать подходы к оценке уникальных явлений</w:t>
      </w:r>
      <w:r>
        <w:rPr>
          <w:rStyle w:val="FootnoteSymbol"/>
          <w:lang w:val="ru-RU"/>
        </w:rPr>
        <w:footnoteReference w:id="7"/>
      </w:r>
      <w:r>
        <w:rPr>
          <w:lang w:val="ru-RU"/>
        </w:rPr>
        <w:t>.</w:t>
      </w:r>
    </w:p>
    <w:p w:rsidR="00167C5B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 xml:space="preserve">Теоретики международного права и права прав человека указывали на то, что за годы, прошедшие после принятия Устава ООН, объем и содержание норм международного права прав человека изменились неузнаваемо и что международное право, по существу, становится «неомонистическим», поскольку благодаря расширению средств и каналов трансляции и интерпретации международного и национального права за </w:t>
      </w:r>
      <w:r>
        <w:rPr>
          <w:lang w:val="ru-RU"/>
        </w:rPr>
        <w:lastRenderedPageBreak/>
        <w:t>счет решений органов международной юстиции национальное законодательство и практика испытывают непосредственное воздействие универсальных подходов.</w:t>
      </w:r>
    </w:p>
    <w:p w:rsidR="00167C5B" w:rsidRPr="00856E59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Многие ученые поддерживали и развивали этот довод, приводя новые аргументы: «разница между внутригосударственным и международным правом все более размывается», «право становится 'postnational' или 'постнациональным'», «национальные системы хоть и сохраняют их важность, глобализация, международные и региональные режимы оказывают значительное влияние на эти системы, что приводит к тому, что внутригосударственные правовые системы утрачивают их жесткие рамки»</w:t>
      </w:r>
      <w:r>
        <w:rPr>
          <w:rStyle w:val="FootnoteSymbol"/>
          <w:lang w:val="ru-RU"/>
        </w:rPr>
        <w:footnoteReference w:id="8"/>
      </w:r>
      <w:r>
        <w:rPr>
          <w:lang w:val="ru-RU"/>
        </w:rPr>
        <w:t>.</w:t>
      </w:r>
    </w:p>
    <w:p w:rsidR="00167C5B" w:rsidRDefault="00167C5B" w:rsidP="00167C5B">
      <w:pPr>
        <w:pStyle w:val="Standard"/>
        <w:jc w:val="both"/>
        <w:rPr>
          <w:lang w:val="ru-RU"/>
        </w:rPr>
      </w:pPr>
    </w:p>
    <w:p w:rsidR="00167C5B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Между тем главный расчет в этих прогнозах строился на том, что национальные суды стран, принятых в международную систему защиты прав человека, немедленно начнут применение международно-правовых стандартов – от них зависело, насколько быстро и эффективно удастся идентифицировать нарушения и восстанавливать права человека.</w:t>
      </w:r>
    </w:p>
    <w:p w:rsidR="00167C5B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Никто не сомневался, что каждой стране предстояла значительная работа по «подгонке» национального законодательства и практики к международным стандартам.</w:t>
      </w:r>
    </w:p>
    <w:p w:rsidR="00167C5B" w:rsidRDefault="00167C5B" w:rsidP="00167C5B">
      <w:pPr>
        <w:pStyle w:val="Standard"/>
        <w:jc w:val="both"/>
        <w:rPr>
          <w:lang w:val="ru-RU"/>
        </w:rPr>
      </w:pPr>
    </w:p>
    <w:p w:rsidR="00167C5B" w:rsidRPr="00856E59" w:rsidRDefault="00167C5B" w:rsidP="00167C5B">
      <w:pPr>
        <w:pStyle w:val="Standard"/>
        <w:jc w:val="both"/>
        <w:rPr>
          <w:lang w:val="ru-RU"/>
        </w:rPr>
      </w:pPr>
      <w:r>
        <w:rPr>
          <w:lang w:val="ru-RU"/>
        </w:rPr>
        <w:t>Но никто, пожалуй, не предполагал, что через 20 лет будет стоять вопрос о спасении Европейского суда – сотни тысяч тех, кто не получил защиту в судах, устремились за «европейскими стандартами» в Страсбург</w:t>
      </w:r>
      <w:r>
        <w:rPr>
          <w:rStyle w:val="FootnoteReference"/>
          <w:lang w:val="ru-RU"/>
        </w:rPr>
        <w:footnoteReference w:id="9"/>
      </w:r>
      <w:r>
        <w:rPr>
          <w:lang w:val="ru-RU"/>
        </w:rPr>
        <w:t>.</w:t>
      </w:r>
    </w:p>
    <w:p w:rsidR="00167C5B" w:rsidRDefault="00167C5B" w:rsidP="00167C5B">
      <w:pPr>
        <w:pStyle w:val="Standard"/>
        <w:jc w:val="both"/>
        <w:rPr>
          <w:lang w:val="ru-RU"/>
        </w:rPr>
      </w:pPr>
    </w:p>
    <w:p w:rsidR="00415029" w:rsidRPr="00FC07C9" w:rsidRDefault="00FC07C9">
      <w:pPr>
        <w:rPr>
          <w:lang w:val="ru-RU"/>
        </w:rPr>
      </w:pPr>
      <w:r>
        <w:rPr>
          <w:lang w:val="ru-RU"/>
        </w:rPr>
        <w:t>Людмила Ульяшина</w:t>
      </w:r>
      <w:bookmarkStart w:id="0" w:name="_GoBack"/>
      <w:bookmarkEnd w:id="0"/>
    </w:p>
    <w:sectPr w:rsidR="00415029" w:rsidRPr="00FC0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7C5B" w:rsidRDefault="00167C5B" w:rsidP="00167C5B">
      <w:pPr>
        <w:spacing w:after="0" w:line="240" w:lineRule="auto"/>
      </w:pPr>
      <w:r>
        <w:separator/>
      </w:r>
    </w:p>
  </w:endnote>
  <w:endnote w:type="continuationSeparator" w:id="0">
    <w:p w:rsidR="00167C5B" w:rsidRDefault="00167C5B" w:rsidP="00167C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7C5B" w:rsidRDefault="00167C5B" w:rsidP="00167C5B">
      <w:pPr>
        <w:spacing w:after="0" w:line="240" w:lineRule="auto"/>
      </w:pPr>
      <w:r>
        <w:separator/>
      </w:r>
    </w:p>
  </w:footnote>
  <w:footnote w:type="continuationSeparator" w:id="0">
    <w:p w:rsidR="00167C5B" w:rsidRDefault="00167C5B" w:rsidP="00167C5B">
      <w:pPr>
        <w:spacing w:after="0" w:line="240" w:lineRule="auto"/>
      </w:pPr>
      <w:r>
        <w:continuationSeparator/>
      </w:r>
    </w:p>
  </w:footnote>
  <w:footnote w:id="1">
    <w:p w:rsidR="00167C5B" w:rsidRPr="00347E33" w:rsidRDefault="00167C5B" w:rsidP="00167C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Danilenko</w:t>
      </w:r>
      <w:proofErr w:type="spellEnd"/>
      <w:r>
        <w:t xml:space="preserve">, Gennady M. "Implementation of International Law in Russia and Other CIS countries ". </w:t>
      </w:r>
      <w:r w:rsidRPr="00333E6E">
        <w:rPr>
          <w:i/>
        </w:rPr>
        <w:t xml:space="preserve">European Journal of International Law, </w:t>
      </w:r>
      <w:r>
        <w:t>10, (1999): 51</w:t>
      </w:r>
    </w:p>
  </w:footnote>
  <w:footnote w:id="2">
    <w:p w:rsidR="00167C5B" w:rsidRDefault="00167C5B" w:rsidP="00167C5B">
      <w:pPr>
        <w:pStyle w:val="Footnote"/>
      </w:pPr>
      <w:r>
        <w:rPr>
          <w:rStyle w:val="FootnoteReference"/>
        </w:rPr>
        <w:footnoteRef/>
      </w:r>
      <w:r w:rsidRPr="00333E6E">
        <w:t xml:space="preserve"> </w:t>
      </w:r>
      <w:proofErr w:type="spellStart"/>
      <w:r>
        <w:t>Ametistov</w:t>
      </w:r>
      <w:proofErr w:type="spellEnd"/>
      <w:r>
        <w:t xml:space="preserve"> Ernest M. About the domestic implementation of the European Convention on Human Rights in the Soviet Union: prospects and problems. </w:t>
      </w:r>
      <w:proofErr w:type="gramStart"/>
      <w:r>
        <w:t>The Domestic Implementation of the European Convention on Human Rights in Eastern and Western Europe.</w:t>
      </w:r>
      <w:proofErr w:type="gramEnd"/>
      <w:r>
        <w:t xml:space="preserve"> Proceeding of the Seminar held in Leiden, 24-26 October 1991</w:t>
      </w:r>
      <w:proofErr w:type="gramStart"/>
      <w:r w:rsidRPr="00333E6E">
        <w:t xml:space="preserve">; </w:t>
      </w:r>
      <w:r>
        <w:t xml:space="preserve"> </w:t>
      </w:r>
      <w:proofErr w:type="spellStart"/>
      <w:r>
        <w:t>Alkema</w:t>
      </w:r>
      <w:proofErr w:type="spellEnd"/>
      <w:proofErr w:type="gramEnd"/>
      <w:r>
        <w:t xml:space="preserve"> Evert A., </w:t>
      </w:r>
      <w:proofErr w:type="spellStart"/>
      <w:r>
        <w:t>Bellekom</w:t>
      </w:r>
      <w:proofErr w:type="spellEnd"/>
      <w:r w:rsidRPr="00333E6E">
        <w:t xml:space="preserve"> </w:t>
      </w:r>
      <w:r>
        <w:t xml:space="preserve">Theo L. </w:t>
      </w:r>
      <w:proofErr w:type="spellStart"/>
      <w:r>
        <w:t>et</w:t>
      </w:r>
      <w:proofErr w:type="spellEnd"/>
      <w:r>
        <w:t xml:space="preserve"> all</w:t>
      </w:r>
      <w:r w:rsidRPr="00333E6E">
        <w:t>.</w:t>
      </w:r>
      <w:r>
        <w:t xml:space="preserve"> </w:t>
      </w:r>
      <w:proofErr w:type="gramStart"/>
      <w:r w:rsidRPr="00333E6E">
        <w:t>(</w:t>
      </w:r>
      <w:r>
        <w:t xml:space="preserve">eds. </w:t>
      </w:r>
      <w:proofErr w:type="spellStart"/>
      <w:r>
        <w:t>N.P.Engel</w:t>
      </w:r>
      <w:proofErr w:type="spellEnd"/>
      <w:r w:rsidRPr="00333E6E">
        <w:t>).</w:t>
      </w:r>
      <w:proofErr w:type="gramEnd"/>
      <w:r>
        <w:t xml:space="preserve"> </w:t>
      </w:r>
      <w:proofErr w:type="gramStart"/>
      <w:r>
        <w:t xml:space="preserve">Publisher- </w:t>
      </w:r>
      <w:proofErr w:type="spellStart"/>
      <w:r>
        <w:t>Kehl</w:t>
      </w:r>
      <w:proofErr w:type="spellEnd"/>
      <w:r>
        <w:t>-Strasbourg-Arlington.</w:t>
      </w:r>
      <w:proofErr w:type="gramEnd"/>
    </w:p>
  </w:footnote>
  <w:footnote w:id="3">
    <w:p w:rsidR="00167C5B" w:rsidRPr="0004152D" w:rsidRDefault="00167C5B" w:rsidP="00167C5B">
      <w:pPr>
        <w:pStyle w:val="Footnote"/>
      </w:pPr>
      <w:r>
        <w:rPr>
          <w:rStyle w:val="FootnoteReference"/>
        </w:rPr>
        <w:footnoteRef/>
      </w:r>
      <w:r>
        <w:t xml:space="preserve"> Ku Charlotte and </w:t>
      </w:r>
      <w:proofErr w:type="spellStart"/>
      <w:r>
        <w:t>Diel</w:t>
      </w:r>
      <w:proofErr w:type="spellEnd"/>
      <w:r>
        <w:t xml:space="preserve"> Paul F. International Law as Operating and Normative Systems: An Overview. International Law:</w:t>
      </w:r>
      <w:r w:rsidRPr="00333E6E">
        <w:t xml:space="preserve"> </w:t>
      </w:r>
      <w:r>
        <w:t xml:space="preserve">Classic and Contemporary Reading ed. </w:t>
      </w:r>
      <w:proofErr w:type="gramStart"/>
      <w:r>
        <w:t>Charlotte  Ku</w:t>
      </w:r>
      <w:proofErr w:type="gramEnd"/>
      <w:r>
        <w:t xml:space="preserve"> and Paul F. </w:t>
      </w:r>
      <w:proofErr w:type="spellStart"/>
      <w:r>
        <w:t>Diel</w:t>
      </w:r>
      <w:proofErr w:type="spellEnd"/>
      <w:r>
        <w:t xml:space="preserve">. </w:t>
      </w:r>
      <w:proofErr w:type="gramStart"/>
      <w:r>
        <w:t>Boulder</w:t>
      </w:r>
      <w:r w:rsidRPr="00333E6E">
        <w:t>;</w:t>
      </w:r>
      <w:r>
        <w:t xml:space="preserve"> London, 2009.</w:t>
      </w:r>
      <w:proofErr w:type="gramEnd"/>
      <w:r>
        <w:t xml:space="preserve"> </w:t>
      </w:r>
      <w:proofErr w:type="gramStart"/>
      <w:r>
        <w:t>1</w:t>
      </w:r>
      <w:r w:rsidRPr="00333E6E">
        <w:t>–</w:t>
      </w:r>
      <w:r>
        <w:t>17.</w:t>
      </w:r>
      <w:proofErr w:type="gramEnd"/>
    </w:p>
  </w:footnote>
  <w:footnote w:id="4">
    <w:p w:rsidR="00167C5B" w:rsidRDefault="00167C5B" w:rsidP="00167C5B">
      <w:pPr>
        <w:pStyle w:val="Footnote"/>
      </w:pPr>
      <w:r>
        <w:rPr>
          <w:rStyle w:val="FootnoteReference"/>
        </w:rPr>
        <w:footnoteRef/>
      </w:r>
      <w:r w:rsidRPr="00333E6E">
        <w:t xml:space="preserve"> </w:t>
      </w:r>
      <w:r>
        <w:t>Hoffman Stanley. The crisis of Liberal Internationalism</w:t>
      </w:r>
      <w:r w:rsidRPr="00333E6E">
        <w:t xml:space="preserve"> //</w:t>
      </w:r>
      <w:r>
        <w:t xml:space="preserve"> 98 Foreign </w:t>
      </w:r>
      <w:proofErr w:type="spellStart"/>
      <w:r>
        <w:t>Pol'y</w:t>
      </w:r>
      <w:proofErr w:type="spellEnd"/>
      <w:r>
        <w:t xml:space="preserve"> 159</w:t>
      </w:r>
      <w:r w:rsidRPr="00333E6E">
        <w:t xml:space="preserve"> </w:t>
      </w:r>
      <w:r>
        <w:t>(1995).</w:t>
      </w:r>
    </w:p>
  </w:footnote>
  <w:footnote w:id="5">
    <w:p w:rsidR="00167C5B" w:rsidRDefault="00167C5B" w:rsidP="00167C5B">
      <w:pPr>
        <w:pStyle w:val="FootnoteText"/>
      </w:pPr>
      <w:r>
        <w:rPr>
          <w:rStyle w:val="FootnoteReference"/>
        </w:rPr>
        <w:footnoteRef/>
      </w:r>
      <w:r>
        <w:t xml:space="preserve"> Frank</w:t>
      </w:r>
      <w:r w:rsidRPr="00333E6E">
        <w:t xml:space="preserve"> </w:t>
      </w:r>
      <w:r>
        <w:t xml:space="preserve">Thomas M. The Power of Legitimacy </w:t>
      </w:r>
      <w:proofErr w:type="gramStart"/>
      <w:r>
        <w:t>Among</w:t>
      </w:r>
      <w:proofErr w:type="gramEnd"/>
      <w:r>
        <w:t xml:space="preserve"> Nations</w:t>
      </w:r>
      <w:r w:rsidRPr="00333E6E">
        <w:t>.</w:t>
      </w:r>
      <w:r>
        <w:t xml:space="preserve"> </w:t>
      </w:r>
      <w:proofErr w:type="gramStart"/>
      <w:r>
        <w:t>Oxford University Press (1990).</w:t>
      </w:r>
      <w:proofErr w:type="gramEnd"/>
    </w:p>
  </w:footnote>
  <w:footnote w:id="6">
    <w:p w:rsidR="00167C5B" w:rsidRPr="00A6301F" w:rsidRDefault="00167C5B" w:rsidP="00167C5B">
      <w:pPr>
        <w:pStyle w:val="FootnoteText"/>
      </w:pPr>
      <w:r>
        <w:rPr>
          <w:rStyle w:val="FootnoteReference"/>
        </w:rPr>
        <w:footnoteRef/>
      </w:r>
      <w:r w:rsidRPr="00333E6E">
        <w:t xml:space="preserve"> </w:t>
      </w:r>
      <w:r>
        <w:rPr>
          <w:lang w:val="ru-RU"/>
        </w:rPr>
        <w:t>Лукашук</w:t>
      </w:r>
      <w:r w:rsidRPr="00333E6E">
        <w:t xml:space="preserve"> </w:t>
      </w:r>
      <w:r>
        <w:rPr>
          <w:lang w:val="ru-RU"/>
        </w:rPr>
        <w:t>И</w:t>
      </w:r>
      <w:r w:rsidRPr="00333E6E">
        <w:t xml:space="preserve">. </w:t>
      </w:r>
      <w:r w:rsidRPr="00333E6E">
        <w:rPr>
          <w:iCs/>
          <w:lang w:val="ru-RU"/>
        </w:rPr>
        <w:t>Междун</w:t>
      </w:r>
      <w:r>
        <w:rPr>
          <w:iCs/>
          <w:lang w:val="ru-RU"/>
        </w:rPr>
        <w:t>аро</w:t>
      </w:r>
      <w:r w:rsidRPr="00333E6E">
        <w:rPr>
          <w:iCs/>
          <w:lang w:val="ru-RU"/>
        </w:rPr>
        <w:t>дное</w:t>
      </w:r>
      <w:r w:rsidRPr="00B30541">
        <w:rPr>
          <w:iCs/>
        </w:rPr>
        <w:t xml:space="preserve"> </w:t>
      </w:r>
      <w:r w:rsidRPr="00333E6E">
        <w:rPr>
          <w:iCs/>
          <w:lang w:val="ru-RU"/>
        </w:rPr>
        <w:t>право</w:t>
      </w:r>
      <w:r w:rsidRPr="00B30541">
        <w:rPr>
          <w:iCs/>
        </w:rPr>
        <w:t xml:space="preserve">. </w:t>
      </w:r>
      <w:r w:rsidRPr="00333E6E">
        <w:rPr>
          <w:iCs/>
          <w:lang w:val="ru-RU"/>
        </w:rPr>
        <w:t>Общая часть:</w:t>
      </w:r>
      <w:r>
        <w:rPr>
          <w:iCs/>
          <w:lang w:val="ru-RU"/>
        </w:rPr>
        <w:t xml:space="preserve"> </w:t>
      </w:r>
      <w:r w:rsidRPr="00333E6E">
        <w:rPr>
          <w:iCs/>
          <w:lang w:val="ru-RU"/>
        </w:rPr>
        <w:t>учеб. для студентов юрид. фак. и вузов</w:t>
      </w:r>
      <w:r>
        <w:rPr>
          <w:i/>
          <w:iCs/>
          <w:lang w:val="ru-RU"/>
        </w:rPr>
        <w:t xml:space="preserve">. </w:t>
      </w:r>
      <w:r>
        <w:rPr>
          <w:lang w:val="ru-RU"/>
        </w:rPr>
        <w:t>М</w:t>
      </w:r>
      <w:r w:rsidRPr="00333E6E">
        <w:t>.</w:t>
      </w:r>
      <w:r>
        <w:t xml:space="preserve">: </w:t>
      </w:r>
      <w:r>
        <w:rPr>
          <w:lang w:val="ru-RU"/>
        </w:rPr>
        <w:t>Волтер</w:t>
      </w:r>
      <w:r>
        <w:t xml:space="preserve"> </w:t>
      </w:r>
      <w:r>
        <w:rPr>
          <w:lang w:val="ru-RU"/>
        </w:rPr>
        <w:t>Клувер</w:t>
      </w:r>
      <w:r>
        <w:t>, 2008:</w:t>
      </w:r>
      <w:r w:rsidRPr="00333E6E">
        <w:t xml:space="preserve"> </w:t>
      </w:r>
      <w:r>
        <w:t>97</w:t>
      </w:r>
      <w:r w:rsidRPr="00333E6E">
        <w:t>.</w:t>
      </w:r>
    </w:p>
  </w:footnote>
  <w:footnote w:id="7">
    <w:p w:rsidR="00167C5B" w:rsidRDefault="00167C5B" w:rsidP="00167C5B">
      <w:pPr>
        <w:pStyle w:val="Footnote"/>
      </w:pPr>
      <w:r>
        <w:rPr>
          <w:rStyle w:val="FootnoteReference"/>
        </w:rPr>
        <w:footnoteRef/>
      </w:r>
      <w:r>
        <w:t xml:space="preserve"> </w:t>
      </w:r>
      <w:proofErr w:type="gramStart"/>
      <w:r>
        <w:t xml:space="preserve">Ku and </w:t>
      </w:r>
      <w:proofErr w:type="spellStart"/>
      <w:r>
        <w:t>Diel</w:t>
      </w:r>
      <w:proofErr w:type="spellEnd"/>
      <w:r w:rsidRPr="00333E6E">
        <w:t>.</w:t>
      </w:r>
      <w:proofErr w:type="gramEnd"/>
      <w:r>
        <w:t xml:space="preserve"> International Law as Operating and Normative Systems: An Overview</w:t>
      </w:r>
      <w:r w:rsidRPr="00333E6E">
        <w:t>.</w:t>
      </w:r>
      <w:r>
        <w:t xml:space="preserve"> 2009. 1-17.</w:t>
      </w:r>
    </w:p>
  </w:footnote>
  <w:footnote w:id="8">
    <w:p w:rsidR="00167C5B" w:rsidRPr="008C316E" w:rsidRDefault="00167C5B" w:rsidP="00167C5B">
      <w:pPr>
        <w:pStyle w:val="Footnote"/>
        <w:rPr>
          <w:lang w:val="ru-RU"/>
        </w:rPr>
      </w:pPr>
      <w:r>
        <w:rPr>
          <w:rStyle w:val="FootnoteReference"/>
        </w:rPr>
        <w:footnoteRef/>
      </w:r>
      <w:r w:rsidRPr="00333E6E">
        <w:t xml:space="preserve"> </w:t>
      </w:r>
      <w:proofErr w:type="spellStart"/>
      <w:proofErr w:type="gramStart"/>
      <w:r>
        <w:t>Krisch</w:t>
      </w:r>
      <w:proofErr w:type="spellEnd"/>
      <w:r>
        <w:t xml:space="preserve">, </w:t>
      </w:r>
      <w:proofErr w:type="spellStart"/>
      <w:r>
        <w:t>Nico</w:t>
      </w:r>
      <w:proofErr w:type="spellEnd"/>
      <w:r>
        <w:t>, Beyond</w:t>
      </w:r>
      <w:r w:rsidRPr="00333E6E">
        <w:t>.</w:t>
      </w:r>
      <w:proofErr w:type="gramEnd"/>
      <w:r>
        <w:t xml:space="preserve"> </w:t>
      </w:r>
      <w:proofErr w:type="spellStart"/>
      <w:r>
        <w:t>Constitutuionalism</w:t>
      </w:r>
      <w:proofErr w:type="spellEnd"/>
      <w:r>
        <w:t xml:space="preserve">, </w:t>
      </w:r>
      <w:proofErr w:type="gramStart"/>
      <w:r>
        <w:t>The</w:t>
      </w:r>
      <w:proofErr w:type="gramEnd"/>
      <w:r>
        <w:t xml:space="preserve"> Pluralistic Structure of </w:t>
      </w:r>
      <w:proofErr w:type="spellStart"/>
      <w:r>
        <w:t>Postnational</w:t>
      </w:r>
      <w:proofErr w:type="spellEnd"/>
      <w:r>
        <w:t xml:space="preserve"> Law. Oxford</w:t>
      </w:r>
      <w:r>
        <w:rPr>
          <w:lang w:val="ru-RU"/>
        </w:rPr>
        <w:t>,</w:t>
      </w:r>
      <w:r w:rsidRPr="00333E6E">
        <w:rPr>
          <w:lang w:val="ru-RU"/>
        </w:rPr>
        <w:t xml:space="preserve"> 2010</w:t>
      </w:r>
      <w:r>
        <w:rPr>
          <w:lang w:val="ru-RU"/>
        </w:rPr>
        <w:t xml:space="preserve">: </w:t>
      </w:r>
      <w:r w:rsidRPr="00333E6E">
        <w:rPr>
          <w:lang w:val="ru-RU"/>
        </w:rPr>
        <w:t>4.</w:t>
      </w:r>
    </w:p>
  </w:footnote>
  <w:footnote w:id="9">
    <w:p w:rsidR="00167C5B" w:rsidRPr="00856E59" w:rsidRDefault="00167C5B" w:rsidP="00167C5B">
      <w:pPr>
        <w:pStyle w:val="Footnote"/>
        <w:rPr>
          <w:lang w:val="ru-RU"/>
        </w:rPr>
      </w:pPr>
      <w:r>
        <w:rPr>
          <w:rStyle w:val="FootnoteReference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>Этот</w:t>
      </w:r>
      <w:r w:rsidRPr="00333E6E">
        <w:rPr>
          <w:lang w:val="ru-RU"/>
        </w:rPr>
        <w:t xml:space="preserve"> </w:t>
      </w:r>
      <w:r>
        <w:rPr>
          <w:lang w:val="ru-RU"/>
        </w:rPr>
        <w:t>пример</w:t>
      </w:r>
      <w:r w:rsidRPr="00333E6E">
        <w:rPr>
          <w:lang w:val="ru-RU"/>
        </w:rPr>
        <w:t xml:space="preserve"> </w:t>
      </w:r>
      <w:r>
        <w:rPr>
          <w:lang w:val="ru-RU"/>
        </w:rPr>
        <w:t>в</w:t>
      </w:r>
      <w:r w:rsidRPr="00333E6E">
        <w:rPr>
          <w:lang w:val="ru-RU"/>
        </w:rPr>
        <w:t xml:space="preserve"> </w:t>
      </w:r>
      <w:r>
        <w:rPr>
          <w:lang w:val="ru-RU"/>
        </w:rPr>
        <w:t>равной</w:t>
      </w:r>
      <w:r w:rsidRPr="00333E6E">
        <w:rPr>
          <w:lang w:val="ru-RU"/>
        </w:rPr>
        <w:t xml:space="preserve"> </w:t>
      </w:r>
      <w:r>
        <w:rPr>
          <w:lang w:val="ru-RU"/>
        </w:rPr>
        <w:t>степени</w:t>
      </w:r>
      <w:r w:rsidRPr="00333E6E">
        <w:rPr>
          <w:lang w:val="ru-RU"/>
        </w:rPr>
        <w:t xml:space="preserve"> </w:t>
      </w:r>
      <w:r>
        <w:rPr>
          <w:lang w:val="ru-RU"/>
        </w:rPr>
        <w:t>относится</w:t>
      </w:r>
      <w:r w:rsidRPr="00333E6E">
        <w:rPr>
          <w:lang w:val="ru-RU"/>
        </w:rPr>
        <w:t xml:space="preserve"> </w:t>
      </w:r>
      <w:r>
        <w:rPr>
          <w:lang w:val="ru-RU"/>
        </w:rPr>
        <w:t>и</w:t>
      </w:r>
      <w:r w:rsidRPr="00333E6E">
        <w:rPr>
          <w:lang w:val="ru-RU"/>
        </w:rPr>
        <w:t xml:space="preserve"> </w:t>
      </w:r>
      <w:r>
        <w:rPr>
          <w:lang w:val="ru-RU"/>
        </w:rPr>
        <w:t>к</w:t>
      </w:r>
      <w:r w:rsidRPr="00333E6E">
        <w:rPr>
          <w:lang w:val="ru-RU"/>
        </w:rPr>
        <w:t xml:space="preserve"> </w:t>
      </w:r>
      <w:r>
        <w:rPr>
          <w:lang w:val="ru-RU"/>
        </w:rPr>
        <w:t>органам</w:t>
      </w:r>
      <w:r w:rsidRPr="00333E6E">
        <w:rPr>
          <w:lang w:val="ru-RU"/>
        </w:rPr>
        <w:t xml:space="preserve">, </w:t>
      </w:r>
      <w:r>
        <w:rPr>
          <w:lang w:val="ru-RU"/>
        </w:rPr>
        <w:t>созданным</w:t>
      </w:r>
      <w:r w:rsidRPr="00333E6E">
        <w:rPr>
          <w:lang w:val="ru-RU"/>
        </w:rPr>
        <w:t xml:space="preserve"> </w:t>
      </w:r>
      <w:r>
        <w:rPr>
          <w:lang w:val="ru-RU"/>
        </w:rPr>
        <w:t>в</w:t>
      </w:r>
      <w:r w:rsidRPr="00333E6E">
        <w:rPr>
          <w:lang w:val="ru-RU"/>
        </w:rPr>
        <w:t xml:space="preserve"> </w:t>
      </w:r>
      <w:r>
        <w:rPr>
          <w:lang w:val="ru-RU"/>
        </w:rPr>
        <w:t>рамках</w:t>
      </w:r>
      <w:r w:rsidRPr="00333E6E">
        <w:rPr>
          <w:lang w:val="ru-RU"/>
        </w:rPr>
        <w:t xml:space="preserve"> </w:t>
      </w:r>
      <w:r>
        <w:rPr>
          <w:lang w:val="ru-RU"/>
        </w:rPr>
        <w:t>договоров</w:t>
      </w:r>
      <w:r w:rsidRPr="00333E6E">
        <w:rPr>
          <w:lang w:val="ru-RU"/>
        </w:rPr>
        <w:t xml:space="preserve"> </w:t>
      </w:r>
      <w:r>
        <w:rPr>
          <w:lang w:val="ru-RU"/>
        </w:rPr>
        <w:t>и</w:t>
      </w:r>
      <w:r w:rsidRPr="00333E6E">
        <w:rPr>
          <w:lang w:val="ru-RU"/>
        </w:rPr>
        <w:t xml:space="preserve"> </w:t>
      </w:r>
      <w:r>
        <w:rPr>
          <w:lang w:val="ru-RU"/>
        </w:rPr>
        <w:t>осуществляющих</w:t>
      </w:r>
      <w:r w:rsidRPr="00333E6E">
        <w:rPr>
          <w:lang w:val="ru-RU"/>
        </w:rPr>
        <w:t xml:space="preserve"> </w:t>
      </w:r>
      <w:r>
        <w:rPr>
          <w:lang w:val="ru-RU"/>
        </w:rPr>
        <w:t>мониторинг</w:t>
      </w:r>
      <w:r w:rsidRPr="00333E6E">
        <w:rPr>
          <w:lang w:val="ru-RU"/>
        </w:rPr>
        <w:t xml:space="preserve"> </w:t>
      </w:r>
      <w:r>
        <w:rPr>
          <w:lang w:val="ru-RU"/>
        </w:rPr>
        <w:t>выполнения международных обязательств посредством рассмотрения индивидуальных жалоб, подаваемых из стран-членов договоров.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C5B"/>
    <w:rsid w:val="00167C5B"/>
    <w:rsid w:val="00415029"/>
    <w:rsid w:val="00FC0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67C5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4"/>
      <w:szCs w:val="24"/>
      <w:lang w:val="en-US" w:eastAsia="zh-CN" w:bidi="hi-IN"/>
    </w:rPr>
  </w:style>
  <w:style w:type="paragraph" w:customStyle="1" w:styleId="Footnote">
    <w:name w:val="Footnote"/>
    <w:basedOn w:val="Standard"/>
    <w:rsid w:val="00167C5B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link w:val="FootnoteTextChar"/>
    <w:rsid w:val="00167C5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0"/>
      <w:szCs w:val="18"/>
      <w:lang w:val="en-US" w:eastAsia="zh-CN" w:bidi="hi-IN"/>
    </w:rPr>
  </w:style>
  <w:style w:type="character" w:customStyle="1" w:styleId="FootnoteTextChar">
    <w:name w:val="Footnote Text Char"/>
    <w:basedOn w:val="DefaultParagraphFont"/>
    <w:link w:val="FootnoteText"/>
    <w:rsid w:val="00167C5B"/>
    <w:rPr>
      <w:rFonts w:ascii="Calibri" w:eastAsia="SimSun" w:hAnsi="Calibri" w:cs="Mangal"/>
      <w:kern w:val="3"/>
      <w:sz w:val="20"/>
      <w:szCs w:val="18"/>
      <w:lang w:val="en-US" w:eastAsia="zh-CN" w:bidi="hi-IN"/>
    </w:rPr>
  </w:style>
  <w:style w:type="character" w:customStyle="1" w:styleId="FootnoteSymbol">
    <w:name w:val="Footnote Symbol"/>
    <w:rsid w:val="00167C5B"/>
  </w:style>
  <w:style w:type="character" w:styleId="FootnoteReference">
    <w:name w:val="footnote reference"/>
    <w:basedOn w:val="DefaultParagraphFont"/>
    <w:rsid w:val="00167C5B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167C5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4"/>
      <w:szCs w:val="24"/>
      <w:lang w:val="en-US" w:eastAsia="zh-CN" w:bidi="hi-IN"/>
    </w:rPr>
  </w:style>
  <w:style w:type="paragraph" w:customStyle="1" w:styleId="Footnote">
    <w:name w:val="Footnote"/>
    <w:basedOn w:val="Standard"/>
    <w:rsid w:val="00167C5B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link w:val="FootnoteTextChar"/>
    <w:rsid w:val="00167C5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Mangal"/>
      <w:kern w:val="3"/>
      <w:sz w:val="20"/>
      <w:szCs w:val="18"/>
      <w:lang w:val="en-US" w:eastAsia="zh-CN" w:bidi="hi-IN"/>
    </w:rPr>
  </w:style>
  <w:style w:type="character" w:customStyle="1" w:styleId="FootnoteTextChar">
    <w:name w:val="Footnote Text Char"/>
    <w:basedOn w:val="DefaultParagraphFont"/>
    <w:link w:val="FootnoteText"/>
    <w:rsid w:val="00167C5B"/>
    <w:rPr>
      <w:rFonts w:ascii="Calibri" w:eastAsia="SimSun" w:hAnsi="Calibri" w:cs="Mangal"/>
      <w:kern w:val="3"/>
      <w:sz w:val="20"/>
      <w:szCs w:val="18"/>
      <w:lang w:val="en-US" w:eastAsia="zh-CN" w:bidi="hi-IN"/>
    </w:rPr>
  </w:style>
  <w:style w:type="character" w:customStyle="1" w:styleId="FootnoteSymbol">
    <w:name w:val="Footnote Symbol"/>
    <w:rsid w:val="00167C5B"/>
  </w:style>
  <w:style w:type="character" w:styleId="FootnoteReference">
    <w:name w:val="footnote reference"/>
    <w:basedOn w:val="DefaultParagraphFont"/>
    <w:rsid w:val="00167C5B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Ulyashyna</dc:creator>
  <cp:lastModifiedBy>Liudmila Ulyashyna</cp:lastModifiedBy>
  <cp:revision>2</cp:revision>
  <dcterms:created xsi:type="dcterms:W3CDTF">2012-05-23T14:48:00Z</dcterms:created>
  <dcterms:modified xsi:type="dcterms:W3CDTF">2012-05-23T14:49:00Z</dcterms:modified>
</cp:coreProperties>
</file>