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Приложение 1 для модуля 4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Таблица 2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</w:pPr>
    </w:p>
    <w:p>
      <w:pPr>
        <w:suppressAutoHyphens w:val="true"/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</w:pPr>
      <w:r>
        <w:rPr>
          <w:rFonts w:ascii="Calibri" w:hAnsi="Calibri" w:cs="Calibri" w:eastAsia="Calibri"/>
          <w:b/>
          <w:color w:val="auto"/>
          <w:spacing w:val="0"/>
          <w:position w:val="0"/>
          <w:sz w:val="20"/>
          <w:shd w:fill="auto" w:val="clear"/>
        </w:rPr>
        <w:t xml:space="preserve">Стандарты: Группы и Эффективность</w:t>
      </w:r>
      <w:r>
        <w:rPr>
          <w:rFonts w:ascii="Arial" w:hAnsi="Arial" w:cs="Arial" w:eastAsia="Arial"/>
          <w:b/>
          <w:color w:val="auto"/>
          <w:spacing w:val="0"/>
          <w:position w:val="0"/>
          <w:sz w:val="20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145"/>
        <w:gridCol w:w="4635"/>
        <w:gridCol w:w="4105"/>
      </w:tblGrid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Виды (группы) </w:t>
            </w:r>
          </w:p>
        </w:tc>
        <w:tc>
          <w:tcPr>
            <w:tcW w:w="46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Названия(документов или органов)</w:t>
            </w:r>
          </w:p>
        </w:tc>
        <w:tc>
          <w:tcPr>
            <w:tcW w:w="4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эффективность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А. Предшественник МСПЧ</w:t>
            </w:r>
          </w:p>
        </w:tc>
        <w:tc>
          <w:tcPr>
            <w:tcW w:w="46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«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Стандарт национального обращения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»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(18-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первая половина 20 века)</w:t>
            </w:r>
          </w:p>
        </w:tc>
        <w:tc>
          <w:tcPr>
            <w:tcW w:w="4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прекратил существование после слияния с МСПЧ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В. Основа стандартов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Всеобщая Декларация прав человека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(1948)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продолжает применяться, признается как  всеобщая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 Конституция прав человека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С. Твердое право.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Международные договоры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 иные основные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20"/>
                <w:shd w:fill="auto" w:val="clear"/>
              </w:rPr>
              <w:t xml:space="preserve">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источники международного права </w:t>
            </w:r>
          </w:p>
        </w:tc>
        <w:tc>
          <w:tcPr>
            <w:tcW w:w="463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Конвенции,  пакты, протоколы (все вместе именуемые международными договорами), универсальные принципы права, междунроадный обычай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и иные источники международного права, принимаемые и признаваемые основными субъектами международного права и обладающие признаками нормативности </w:t>
            </w:r>
          </w:p>
        </w:tc>
        <w:tc>
          <w:tcPr>
            <w:tcW w:w="4105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продолжают развиваться и применяться</w:t>
            </w:r>
          </w:p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являются классическими </w:t>
            </w:r>
            <w:r>
              <w:rPr>
                <w:rFonts w:ascii="Arial" w:hAnsi="Arial" w:cs="Arial" w:eastAsia="Arial"/>
                <w:i/>
                <w:color w:val="auto"/>
                <w:spacing w:val="0"/>
                <w:position w:val="0"/>
                <w:sz w:val="16"/>
                <w:shd w:fill="auto" w:val="clear"/>
              </w:rPr>
              <w:t xml:space="preserve">основными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 источниками праваСтатья 38 Устава Суда ООН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D.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Мягкое право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или стандарты в узком значении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Рекомендации, стандартные правила и др 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Акты, принимаемые в форме резолюций ГА ООН, либо Руководящих принципов и Правил Конгресса ООН, стандартные правила, кодексы поведения, общие рекомендации международных органов и пр.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продолжает применяться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Е. Судебные стандарты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Решения, мнения, консультативные заключения Международного Суда ООН,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Европейского Суда по правам человека,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Суда Европейского Сообщества,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Международных уголовных трибуналов, </w:t>
            </w:r>
          </w:p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Комитетов, созданных в рамках договоров по правам человека. 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продолжает применяться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Судебная практика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Частично - в тех случаях, когда дается интерпретация положений МД, которые регулируют права и свободы человека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16"/>
                <w:shd w:fill="auto" w:val="clear"/>
              </w:rPr>
              <w:t xml:space="preserve">Замечания общего порядка, комментарии, рекомендации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119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продолжают применяться</w:t>
            </w:r>
          </w:p>
        </w:tc>
      </w:tr>
      <w:tr>
        <w:trPr>
          <w:trHeight w:val="1" w:hRule="atLeast"/>
          <w:jc w:val="left"/>
        </w:trPr>
        <w:tc>
          <w:tcPr>
            <w:tcW w:w="214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F. 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0"/>
                <w:shd w:fill="auto" w:val="clear"/>
              </w:rPr>
              <w:t xml:space="preserve">Стандарты НПО</w:t>
            </w:r>
          </w:p>
        </w:tc>
        <w:tc>
          <w:tcPr>
            <w:tcW w:w="463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0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Документы, принимаемые экспертами НПО</w:t>
            </w:r>
          </w:p>
        </w:tc>
        <w:tc>
          <w:tcPr>
            <w:tcW w:w="4105" w:type="dxa"/>
            <w:tcBorders>
              <w:top w:val="single" w:color="000000" w:sz="0"/>
              <w:left w:val="single" w:color="000000" w:sz="4"/>
              <w:bottom w:val="single" w:color="000000" w:sz="4"/>
              <w:right w:val="single" w:color="000000" w:sz="4"/>
            </w:tcBorders>
            <w:shd w:color="auto" w:fill="auto" w:val="clear"/>
            <w:tcMar>
              <w:left w:w="70" w:type="dxa"/>
              <w:right w:w="70" w:type="dxa"/>
            </w:tcMar>
            <w:vAlign w:val="top"/>
          </w:tcPr>
          <w:p>
            <w:pPr>
              <w:suppressAutoHyphens w:val="true"/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0"/>
                <w:shd w:fill="auto" w:val="clear"/>
              </w:rPr>
              <w:t xml:space="preserve">Широко разрабатываются, применяются в процессе де факто имплементации на национальном уровне</w:t>
            </w:r>
          </w:p>
        </w:tc>
      </w:tr>
    </w:tbl>
    <w:p>
      <w:pPr>
        <w:suppressAutoHyphens w:val="true"/>
        <w:spacing w:before="0" w:after="0" w:line="240"/>
        <w:ind w:right="0" w:left="720" w:firstLine="0"/>
        <w:jc w:val="both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uppressAutoHyphens w:val="true"/>
        <w:spacing w:before="0" w:after="0" w:line="240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