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CE3" w:rsidRDefault="00B31CE3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Глава </w:t>
      </w:r>
    </w:p>
    <w:p w:rsidR="00B31CE3" w:rsidRDefault="00B31CE3">
      <w:pPr>
        <w:pStyle w:val="Standard"/>
        <w:rPr>
          <w:b/>
          <w:bCs/>
          <w:lang w:val="ru-RU"/>
        </w:rPr>
      </w:pPr>
    </w:p>
    <w:p w:rsidR="00FA7DF6" w:rsidRPr="00505580" w:rsidRDefault="00505580">
      <w:pPr>
        <w:pStyle w:val="Standard"/>
        <w:rPr>
          <w:lang w:val="ru-RU"/>
        </w:rPr>
      </w:pPr>
      <w:r>
        <w:rPr>
          <w:b/>
          <w:bCs/>
          <w:lang w:val="ru-RU"/>
        </w:rPr>
        <w:t>Концепции соотношения международного и национального права.</w:t>
      </w:r>
    </w:p>
    <w:p w:rsidR="00FA7DF6" w:rsidRDefault="00FA7DF6">
      <w:pPr>
        <w:pStyle w:val="Standard"/>
        <w:rPr>
          <w:lang w:val="ru-RU"/>
        </w:rPr>
      </w:pP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В теории международного права существует два крайних направления о соотношении международного и национального права: монистическое и дуалистическое. И хотя сегодня трудно отрицать тот факт, что правовые системы редко демонстрируют примеры «чистых» моделей в конституционных и законодательных механизмах имплементации, знание этих подходов необходимо.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Практическое значение этих концепций проявляется в том, что, зная о приверженности правовой системы той или иной концепции, можно судить и о том, признает ли национальная система возможность прямого действия норм международного права или до применения международных норм на практике требуется осуществить внутригосударственные меры по их введению в национальную правовую систему.</w:t>
      </w:r>
    </w:p>
    <w:p w:rsidR="00FA7DF6" w:rsidRDefault="00FA7DF6">
      <w:pPr>
        <w:pStyle w:val="Standard"/>
        <w:jc w:val="both"/>
        <w:rPr>
          <w:rFonts w:eastAsia="Arial Unicode MS" w:cs="Arial Unicode MS"/>
          <w:color w:val="000000"/>
          <w:lang w:val="ru-RU"/>
        </w:rPr>
      </w:pPr>
    </w:p>
    <w:p w:rsidR="00FA7DF6" w:rsidRDefault="00FA7DF6">
      <w:pPr>
        <w:pStyle w:val="Standard"/>
        <w:jc w:val="both"/>
        <w:rPr>
          <w:rFonts w:eastAsia="Arial Unicode MS" w:cs="Arial Unicode MS"/>
          <w:color w:val="000000"/>
          <w:lang w:val="ru-RU"/>
        </w:rPr>
      </w:pPr>
    </w:p>
    <w:p w:rsidR="00FA7DF6" w:rsidRDefault="00505580">
      <w:pPr>
        <w:pStyle w:val="Standard"/>
        <w:jc w:val="both"/>
        <w:rPr>
          <w:rFonts w:eastAsia="Arial Unicode MS" w:cs="Arial Unicode MS"/>
          <w:b/>
          <w:bCs/>
          <w:lang w:val="ru-RU"/>
        </w:rPr>
      </w:pPr>
      <w:r>
        <w:rPr>
          <w:rFonts w:eastAsia="Arial Unicode MS" w:cs="Arial Unicode MS"/>
          <w:b/>
          <w:bCs/>
          <w:lang w:val="ru-RU"/>
        </w:rPr>
        <w:t>Дуализм</w:t>
      </w:r>
    </w:p>
    <w:p w:rsidR="00FA7DF6" w:rsidRPr="00505580" w:rsidRDefault="00505580">
      <w:pPr>
        <w:pStyle w:val="Standard"/>
        <w:jc w:val="right"/>
        <w:rPr>
          <w:lang w:val="ru-RU"/>
        </w:rPr>
      </w:pPr>
      <w:r>
        <w:rPr>
          <w:rFonts w:eastAsia="Arial Unicode MS" w:cs="Arial Unicode MS"/>
          <w:i/>
          <w:iCs/>
          <w:color w:val="FF0000"/>
          <w:lang w:val="ru-RU"/>
        </w:rPr>
        <w:t>"</w:t>
      </w:r>
      <w:r>
        <w:rPr>
          <w:rFonts w:eastAsia="Arial Unicode MS" w:cs="Arial Unicode MS"/>
          <w:i/>
          <w:iCs/>
          <w:color w:val="000000"/>
          <w:lang w:val="ru-RU"/>
        </w:rPr>
        <w:t>Международное и внутригосударственное право суть</w:t>
      </w:r>
    </w:p>
    <w:p w:rsidR="00FA7DF6" w:rsidRDefault="00505580">
      <w:pPr>
        <w:pStyle w:val="Standard"/>
        <w:jc w:val="right"/>
        <w:rPr>
          <w:rFonts w:eastAsia="Arial Unicode MS" w:cs="Arial Unicode MS"/>
          <w:i/>
          <w:iCs/>
          <w:color w:val="000000"/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не только различные отрасли права,</w:t>
      </w:r>
    </w:p>
    <w:p w:rsidR="00FA7DF6" w:rsidRDefault="00505580">
      <w:pPr>
        <w:pStyle w:val="Standard"/>
        <w:jc w:val="right"/>
        <w:rPr>
          <w:rFonts w:eastAsia="Arial Unicode MS" w:cs="Arial Unicode MS"/>
          <w:i/>
          <w:iCs/>
          <w:color w:val="000000"/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но и различные правопорядки.</w:t>
      </w:r>
    </w:p>
    <w:p w:rsidR="00FA7DF6" w:rsidRDefault="00505580">
      <w:pPr>
        <w:pStyle w:val="Standard"/>
        <w:jc w:val="right"/>
        <w:rPr>
          <w:rFonts w:eastAsia="Arial Unicode MS" w:cs="Arial Unicode MS"/>
          <w:i/>
          <w:iCs/>
          <w:color w:val="000000"/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Это два круга, которые тесно соприкасаются,</w:t>
      </w:r>
    </w:p>
    <w:p w:rsidR="00FA7DF6" w:rsidRDefault="00505580">
      <w:pPr>
        <w:pStyle w:val="Standard"/>
        <w:jc w:val="right"/>
        <w:rPr>
          <w:rFonts w:eastAsia="Arial Unicode MS" w:cs="Arial Unicode MS"/>
          <w:i/>
          <w:iCs/>
          <w:color w:val="000000"/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но никогда не пересекаются"</w:t>
      </w:r>
    </w:p>
    <w:p w:rsidR="00FA7DF6" w:rsidRPr="00505580" w:rsidRDefault="00505580">
      <w:pPr>
        <w:pStyle w:val="Standard"/>
        <w:jc w:val="right"/>
        <w:rPr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Трипель</w:t>
      </w:r>
      <w:r>
        <w:rPr>
          <w:rStyle w:val="WW-FootnoteReference"/>
          <w:rFonts w:eastAsia="Arial Unicode MS" w:cs="Arial Unicode MS"/>
          <w:i/>
          <w:iCs/>
          <w:color w:val="000000"/>
        </w:rPr>
        <w:footnoteReference w:id="1"/>
      </w:r>
    </w:p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rFonts w:eastAsia="Arial Unicode MS" w:cs="Arial Unicode MS"/>
          <w:color w:val="000000"/>
          <w:lang w:val="ru-RU"/>
        </w:rPr>
        <w:t>Доктрина дуализма ассоциируется, главным образом, с немецким ученым Трипелем (1868-1946) и итальянским юристом Анцилотти(1869-1950) и стоит на том, что международное право и национальное право отличаются кардинально:</w:t>
      </w:r>
    </w:p>
    <w:p w:rsidR="00FA7DF6" w:rsidRPr="00505580" w:rsidRDefault="00505580">
      <w:pPr>
        <w:pStyle w:val="Standard"/>
        <w:numPr>
          <w:ilvl w:val="0"/>
          <w:numId w:val="13"/>
        </w:numPr>
        <w:jc w:val="both"/>
        <w:rPr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по субъектному составу</w:t>
      </w:r>
      <w:r>
        <w:rPr>
          <w:rFonts w:eastAsia="Arial Unicode MS" w:cs="Arial Unicode MS"/>
          <w:color w:val="000000"/>
          <w:lang w:val="ru-RU"/>
        </w:rPr>
        <w:t xml:space="preserve"> (индивиды или группы индивидов во внутригосударственном праве и государства - международном)</w:t>
      </w:r>
    </w:p>
    <w:p w:rsidR="00FA7DF6" w:rsidRPr="00505580" w:rsidRDefault="00505580">
      <w:pPr>
        <w:pStyle w:val="Standard"/>
        <w:numPr>
          <w:ilvl w:val="0"/>
          <w:numId w:val="7"/>
        </w:numPr>
        <w:jc w:val="both"/>
        <w:rPr>
          <w:lang w:val="ru-RU"/>
        </w:rPr>
      </w:pPr>
      <w:r>
        <w:rPr>
          <w:rFonts w:eastAsia="Arial Unicode MS" w:cs="Arial Unicode MS"/>
          <w:i/>
          <w:iCs/>
          <w:color w:val="000000"/>
          <w:lang w:val="ru-RU"/>
        </w:rPr>
        <w:t>по источнику</w:t>
      </w:r>
      <w:r>
        <w:rPr>
          <w:rFonts w:eastAsia="Arial Unicode MS" w:cs="Arial Unicode MS"/>
          <w:color w:val="000000"/>
          <w:lang w:val="ru-RU"/>
        </w:rPr>
        <w:t xml:space="preserve"> (законы, принимаются национальным парламентом, в том время как договоры и обычай - результат деятельности государств на международном уровне)</w:t>
      </w:r>
    </w:p>
    <w:p w:rsidR="00FA7DF6" w:rsidRPr="00505580" w:rsidRDefault="00505580">
      <w:pPr>
        <w:pStyle w:val="Standard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 xml:space="preserve">по </w:t>
      </w:r>
      <w:r>
        <w:rPr>
          <w:i/>
          <w:iCs/>
          <w:lang w:val="ru-RU"/>
        </w:rPr>
        <w:t>содержанию</w:t>
      </w:r>
      <w:r>
        <w:rPr>
          <w:lang w:val="ru-RU"/>
        </w:rPr>
        <w:t xml:space="preserve"> правовых предписаний (национальное законодательство предназначено для регулирования внутренних взаимоотношений, в том время как международное право регулирует взаимоотношения суверенов-государств).</w:t>
      </w:r>
    </w:p>
    <w:p w:rsidR="00FA7DF6" w:rsidRDefault="00FA7DF6">
      <w:pPr>
        <w:pStyle w:val="Textbody"/>
        <w:rPr>
          <w:lang w:val="ru-RU"/>
        </w:rPr>
      </w:pPr>
    </w:p>
    <w:p w:rsidR="00FA7DF6" w:rsidRDefault="00505580">
      <w:pPr>
        <w:pStyle w:val="Textbody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Критика дуализма с позиции права прав человека</w:t>
      </w:r>
    </w:p>
    <w:p w:rsidR="00FA7DF6" w:rsidRPr="00505580" w:rsidRDefault="00505580">
      <w:pPr>
        <w:pStyle w:val="Textbody"/>
        <w:jc w:val="both"/>
        <w:rPr>
          <w:lang w:val="ru-RU"/>
        </w:rPr>
      </w:pPr>
      <w:r>
        <w:rPr>
          <w:lang w:val="ru-RU"/>
        </w:rPr>
        <w:t xml:space="preserve"> Если стоять на позиции дуализма</w:t>
      </w:r>
      <w:r>
        <w:rPr>
          <w:color w:val="000000"/>
          <w:lang w:val="ru-RU"/>
        </w:rPr>
        <w:t>, международное право не распространяется на индивидов. Только государства позволяют международным нормам регулировать внутригосударственные отношения, в том числе определять права и обязанности для индивидов, находящихся под юрисдикцией отдельных государств.</w:t>
      </w:r>
    </w:p>
    <w:p w:rsidR="00FA7DF6" w:rsidRDefault="00505580">
      <w:pPr>
        <w:pStyle w:val="Textbody"/>
        <w:jc w:val="both"/>
        <w:rPr>
          <w:color w:val="000000"/>
          <w:lang w:val="ru-RU"/>
        </w:rPr>
      </w:pPr>
      <w:r>
        <w:rPr>
          <w:color w:val="000000"/>
          <w:lang w:val="ru-RU"/>
        </w:rPr>
        <w:t>Этот узкий подход на протяжении столетий обеспечивал полную суверенность отдельных государств в отношении решений о том, какие именно нормы и принципы международного права будут реализованы в отношении лиц, находящихся под их юрисдикцией.</w:t>
      </w:r>
    </w:p>
    <w:p w:rsidR="00FA7DF6" w:rsidRDefault="00505580">
      <w:pPr>
        <w:pStyle w:val="Textbody"/>
        <w:jc w:val="both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Очевидно, сохранение такого положения делало бы невозможным осуществлять воздействие на процесс реализации универсальных прав и свобод человека, поскольку изначально национальное право рассматривалось бы как абсолютно независимая система, которая регулируется лишь волей отдельного государства.</w:t>
      </w:r>
    </w:p>
    <w:p w:rsidR="00FA7DF6" w:rsidRDefault="00505580">
      <w:pPr>
        <w:pStyle w:val="Textbody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Изменение прежних традиций - процесс сложный и длительный. Очевидно, однако, мир стремительно развивается. Информационный обмен, современные технологии привели к тому, что государства не могут далее держать свой народ в неведении относительно распространения универсальных ценностей на отдельные правовые системы и тех обязательств, которые несет государство в отношении каждого человека и всего населения.  </w:t>
      </w:r>
    </w:p>
    <w:p w:rsidR="00FA7DF6" w:rsidRDefault="00505580">
      <w:pPr>
        <w:pStyle w:val="Textbody"/>
        <w:jc w:val="both"/>
        <w:rPr>
          <w:color w:val="000000"/>
          <w:lang w:val="ru-RU"/>
        </w:rPr>
      </w:pPr>
      <w:r>
        <w:rPr>
          <w:color w:val="000000"/>
          <w:lang w:val="ru-RU"/>
        </w:rPr>
        <w:t>Таким образом, международные нормы должны превращаться в реальные действия, они не могут оставаться декларативными предписаниями для людей, проживающих в тех странах, где государства по каким-то причинам отказываются воплотить их в жизнь на национальном уровне.</w:t>
      </w:r>
    </w:p>
    <w:p w:rsidR="00FA7DF6" w:rsidRDefault="00505580">
      <w:pPr>
        <w:pStyle w:val="Textbody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настоящее время, эта проблема рассматривается как одна из самых насущных. Теоретические вопросы имплементации международных обязательств в области прав человека, таким образом, должны рассматриваться с точки зрения поиска эффективных решений, которые влияли бы на реальное положение с правами человека в отдельных странах.</w:t>
      </w:r>
    </w:p>
    <w:p w:rsidR="00FA7DF6" w:rsidRDefault="00FA7DF6">
      <w:pPr>
        <w:pStyle w:val="Textbody"/>
        <w:jc w:val="both"/>
        <w:rPr>
          <w:color w:val="000000"/>
          <w:lang w:val="ru-RU"/>
        </w:rPr>
      </w:pPr>
    </w:p>
    <w:p w:rsidR="00FA7DF6" w:rsidRDefault="00505580">
      <w:pPr>
        <w:pStyle w:val="Standard"/>
        <w:jc w:val="both"/>
        <w:rPr>
          <w:b/>
          <w:bCs/>
          <w:lang w:val="ru-RU"/>
        </w:rPr>
      </w:pPr>
      <w:r>
        <w:rPr>
          <w:b/>
          <w:bCs/>
          <w:lang w:val="ru-RU"/>
        </w:rPr>
        <w:t>Монизм</w:t>
      </w:r>
    </w:p>
    <w:p w:rsidR="00FA7DF6" w:rsidRDefault="00FA7DF6">
      <w:pPr>
        <w:pStyle w:val="Standard"/>
        <w:jc w:val="both"/>
        <w:rPr>
          <w:b/>
          <w:bCs/>
          <w:lang w:val="ru-RU"/>
        </w:rPr>
      </w:pP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 xml:space="preserve"> МОНИЗМ (греч. monos — один) —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 xml:space="preserve"> 1) тип организации философского знания, определяющийся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наличием в нем одного основного принципа, в соответствии с которым осуществляется все содержательное наполнение философской системы; семантически противостоит дуализму и плюрализму;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2) признание в рамках этого принципа единого начала,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общего закона устройства мироздания, определяющего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все многообразие сущего, в т.ч. и человеческого бытия.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В отличие от дуализма и плюрализма, М. отличается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большей внутренней последовательностью,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монолитностью, что в то же время с неизбежностью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приводит к большей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схематизации реальности.</w:t>
      </w:r>
    </w:p>
    <w:p w:rsidR="00FA7DF6" w:rsidRDefault="00FA7DF6">
      <w:pPr>
        <w:pStyle w:val="Standard"/>
        <w:jc w:val="right"/>
        <w:rPr>
          <w:lang w:val="ru-RU"/>
        </w:rPr>
      </w:pP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РЕТУНСКИЙ В.Н.</w:t>
      </w:r>
    </w:p>
    <w:p w:rsidR="00FA7DF6" w:rsidRDefault="00505580">
      <w:pPr>
        <w:pStyle w:val="Standard"/>
        <w:jc w:val="right"/>
        <w:rPr>
          <w:lang w:val="ru-RU"/>
        </w:rPr>
      </w:pPr>
      <w:r>
        <w:rPr>
          <w:lang w:val="ru-RU"/>
        </w:rPr>
        <w:t>Новейший философский словарь</w:t>
      </w:r>
    </w:p>
    <w:p w:rsidR="00FA7DF6" w:rsidRDefault="00FA7DF6">
      <w:pPr>
        <w:pStyle w:val="Standard"/>
        <w:jc w:val="both"/>
        <w:rPr>
          <w:lang w:val="ru-RU"/>
        </w:rPr>
      </w:pP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Представители монистической теории в праве утверждают, что международное и национальное право – это части единой правовой системы.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Последователи одного направления считают национальное право имеющим верховенство над правом международным. (Советская наука международного права начала 1950-х гг., например, была сторонницей такого направления и базировалась на утверждении о высшей ценности коммунистической идеологии, которая должна иметь приоритет над международным правом.)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Большинство представителей монизма стоят на позициях приоритета международных предписаний перед национальным парвом.</w:t>
      </w:r>
    </w:p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lastRenderedPageBreak/>
        <w:t xml:space="preserve">Еще в 1899 г. немецкий исследователь В. Кауфманн опубликовал труд «Юридическая сила международного права и взаимосвязь законодательной власти и государственных органов», в которой обосновал необходимость исходить из примата международного права, поскольку  односторонние интересы отдельных государств  нередко приводят к пренебрежению общими ценностями "правовыми взглядами, представляющими общие интересы" </w:t>
      </w:r>
      <w:r>
        <w:rPr>
          <w:rStyle w:val="FootnoteReference"/>
          <w:lang w:val="ru-RU"/>
        </w:rPr>
        <w:footnoteReference w:id="2"/>
      </w:r>
      <w:r>
        <w:rPr>
          <w:lang w:val="ru-RU"/>
        </w:rPr>
        <w:t>. Эта теория впоследствии была развита известным австрийским юристом Х. Кельзеном в его нормативистском учении о праве (1934). Данная теория предполагает существование единой универсальной системы права, которая охватывает правопорядки различных уровней.</w:t>
      </w:r>
    </w:p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При этом, все право развивается в рамках так называемой «основной нормы», которая, по словам Кельзена, «определяет основной фактор правотворчества так, что ее можно назвать конституцией в смысле правовой логики, в отличие от конституции в смысле позитивного права»</w:t>
      </w:r>
      <w:r>
        <w:rPr>
          <w:rStyle w:val="FootnoteReference"/>
          <w:lang w:val="ru-RU"/>
        </w:rPr>
        <w:footnoteReference w:id="3"/>
      </w:r>
      <w:r>
        <w:rPr>
          <w:lang w:val="ru-RU"/>
        </w:rPr>
        <w:t>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В настоящее время, особенно в области международной защиты прав человека,  монистическое направление с приматом международного права получило новое развитие.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Именно эта концепция, которая предусматривает верховенство международного права в единой правовой системе норм, наиболее точно соответствует предназначению международного права прав человека, основанного на базовой идее универсальности прав и свобод человека.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Всеобщая Декларация прав человека, давно ставшая той самой Конституцией, которая служит основой для отдельных правовых систем, выступает «основной нормой».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Национальные правовые системы, признавая Декларацию базовым документом, содержащим международно-правовые стандарты, по существу создали Конституцию, которая явилась основой для создания единого механизма взаимодействия  международного права со всеми национальными правовыми системами.</w:t>
      </w:r>
    </w:p>
    <w:p w:rsidR="00FA7DF6" w:rsidRDefault="00505580">
      <w:pPr>
        <w:pStyle w:val="Standard"/>
        <w:jc w:val="both"/>
        <w:rPr>
          <w:lang w:val="ru-RU"/>
        </w:rPr>
      </w:pPr>
      <w:r>
        <w:rPr>
          <w:lang w:val="ru-RU"/>
        </w:rPr>
        <w:t>Перенеся положения Всеобщей Декларации прав человека в большинство современных конституций, государства тем самым  перенесли фундаментальные принципы и нормы, которые отражают единые для международного права прав человека подходы.</w:t>
      </w:r>
    </w:p>
    <w:p w:rsidR="00FA7DF6" w:rsidRDefault="00FA7DF6">
      <w:pPr>
        <w:pStyle w:val="Standard"/>
        <w:rPr>
          <w:lang w:val="ru-RU"/>
        </w:rPr>
      </w:pPr>
    </w:p>
    <w:p w:rsidR="00FA7DF6" w:rsidRDefault="00FA7DF6">
      <w:pPr>
        <w:pStyle w:val="Standard"/>
        <w:jc w:val="both"/>
        <w:rPr>
          <w:color w:val="000000"/>
          <w:lang w:val="ru-RU"/>
        </w:rPr>
      </w:pPr>
      <w:bookmarkStart w:id="0" w:name="_GoBack"/>
      <w:bookmarkEnd w:id="0"/>
    </w:p>
    <w:sectPr w:rsidR="00FA7DF6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FF6" w:rsidRDefault="00505580">
      <w:r>
        <w:separator/>
      </w:r>
    </w:p>
  </w:endnote>
  <w:endnote w:type="continuationSeparator" w:id="0">
    <w:p w:rsidR="00D35FF6" w:rsidRDefault="0050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FF6" w:rsidRDefault="00505580">
      <w:r>
        <w:rPr>
          <w:color w:val="000000"/>
        </w:rPr>
        <w:separator/>
      </w:r>
    </w:p>
  </w:footnote>
  <w:footnote w:type="continuationSeparator" w:id="0">
    <w:p w:rsidR="00D35FF6" w:rsidRDefault="00505580">
      <w:r>
        <w:continuationSeparator/>
      </w:r>
    </w:p>
  </w:footnote>
  <w:footnote w:id="1">
    <w:p w:rsidR="00FA7DF6" w:rsidRDefault="00505580">
      <w:pPr>
        <w:pStyle w:val="Footnote"/>
        <w:numPr>
          <w:ilvl w:val="0"/>
          <w:numId w:val="12"/>
        </w:numPr>
      </w:pPr>
      <w:r>
        <w:rPr>
          <w:rStyle w:val="FootnoteReference"/>
        </w:rPr>
        <w:footnoteRef/>
      </w:r>
      <w:r>
        <w:rPr>
          <w:lang w:val="ru-RU"/>
        </w:rPr>
        <w:t xml:space="preserve">Цит. по: Мюллерсон, Р. А. </w:t>
      </w:r>
      <w:r>
        <w:rPr>
          <w:i/>
          <w:iCs/>
          <w:lang w:val="ru-RU"/>
        </w:rPr>
        <w:t>Соотношение международного и национального права</w:t>
      </w:r>
      <w:r>
        <w:rPr>
          <w:lang w:val="ru-RU"/>
        </w:rPr>
        <w:t xml:space="preserve">. </w:t>
      </w:r>
      <w:r w:rsidRPr="00B31CE3">
        <w:rPr>
          <w:lang w:val="ru-RU"/>
        </w:rPr>
        <w:t xml:space="preserve">М., 1982. </w:t>
      </w:r>
      <w:r>
        <w:t>10.</w:t>
      </w:r>
    </w:p>
  </w:footnote>
  <w:footnote w:id="2">
    <w:p w:rsidR="00FA7DF6" w:rsidRPr="00505580" w:rsidRDefault="00505580">
      <w:pPr>
        <w:pStyle w:val="Footnote"/>
        <w:rPr>
          <w:lang w:val="nb-NO"/>
        </w:rPr>
      </w:pPr>
      <w:r>
        <w:rPr>
          <w:rStyle w:val="FootnoteReference"/>
        </w:rPr>
        <w:footnoteRef/>
      </w:r>
      <w:r>
        <w:rPr>
          <w:lang w:val="nb-NO"/>
        </w:rPr>
        <w:t>Kaufmann, W. Die Rechtskraft des Internationales Rechtes and das Verhältnis des Stataasgesetygebung and der Staatsorgane zu demselben (Stuttgart E.Enke, 1899.1-86.</w:t>
      </w:r>
    </w:p>
  </w:footnote>
  <w:footnote w:id="3">
    <w:p w:rsidR="00FA7DF6" w:rsidRPr="00505580" w:rsidRDefault="00505580">
      <w:pPr>
        <w:pStyle w:val="Footnote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>Цит. по: Нерсесянц, В. Философия права. М., 1997.  594.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1FC"/>
    <w:multiLevelType w:val="multilevel"/>
    <w:tmpl w:val="66B833E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2020ACE"/>
    <w:multiLevelType w:val="multilevel"/>
    <w:tmpl w:val="5B4CFDFC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2">
    <w:nsid w:val="1DA85F5F"/>
    <w:multiLevelType w:val="multilevel"/>
    <w:tmpl w:val="00D67566"/>
    <w:styleLink w:val="WW8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3">
    <w:nsid w:val="1F814D90"/>
    <w:multiLevelType w:val="multilevel"/>
    <w:tmpl w:val="C64E290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57B5D7B"/>
    <w:multiLevelType w:val="multilevel"/>
    <w:tmpl w:val="051A026A"/>
    <w:styleLink w:val="WW8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CD857C9"/>
    <w:multiLevelType w:val="multilevel"/>
    <w:tmpl w:val="09F8DB20"/>
    <w:styleLink w:val="WW8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6">
    <w:nsid w:val="43BA6619"/>
    <w:multiLevelType w:val="multilevel"/>
    <w:tmpl w:val="18969DCA"/>
    <w:styleLink w:val="WW8Num5"/>
    <w:lvl w:ilvl="0">
      <w:start w:val="1"/>
      <w:numFmt w:val="decimal"/>
      <w:lvlText w:val="%1)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4680257"/>
    <w:multiLevelType w:val="multilevel"/>
    <w:tmpl w:val="EAE84C7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6CC0E42"/>
    <w:multiLevelType w:val="multilevel"/>
    <w:tmpl w:val="53ECE9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6D6B6908"/>
    <w:multiLevelType w:val="multilevel"/>
    <w:tmpl w:val="42DEC7D4"/>
    <w:styleLink w:val="WW8Num6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71715C8F"/>
    <w:multiLevelType w:val="multilevel"/>
    <w:tmpl w:val="3CD05BE6"/>
    <w:styleLink w:val="WW8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725D2A63"/>
    <w:multiLevelType w:val="multilevel"/>
    <w:tmpl w:val="A5345D28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CFB026B"/>
    <w:multiLevelType w:val="multilevel"/>
    <w:tmpl w:val="BDC83D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</w:num>
  <w:num w:numId="13">
    <w:abstractNumId w:val="9"/>
  </w:num>
  <w:num w:numId="14">
    <w:abstractNumId w:val="0"/>
  </w:num>
  <w:num w:numId="15">
    <w:abstractNumId w:val="7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A7DF6"/>
    <w:rsid w:val="00505580"/>
    <w:rsid w:val="007B349B"/>
    <w:rsid w:val="00B31CE3"/>
    <w:rsid w:val="00C43E3E"/>
    <w:rsid w:val="00D35FF6"/>
    <w:rsid w:val="00FA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1088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3</cp:revision>
  <dcterms:created xsi:type="dcterms:W3CDTF">2012-05-23T15:49:00Z</dcterms:created>
  <dcterms:modified xsi:type="dcterms:W3CDTF">2012-05-23T15:49:00Z</dcterms:modified>
</cp:coreProperties>
</file>