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4" w:rsidRPr="000C57F6" w:rsidRDefault="00001554" w:rsidP="00001554">
      <w:pPr>
        <w:pBdr>
          <w:top w:val="single" w:sz="18" w:space="1" w:color="auto"/>
        </w:pBdr>
        <w:spacing w:line="280" w:lineRule="atLeast"/>
        <w:rPr>
          <w:rFonts w:ascii="Verdana" w:hAnsi="Verdana"/>
          <w:b/>
          <w:sz w:val="32"/>
          <w:szCs w:val="32"/>
        </w:rPr>
      </w:pPr>
      <w:r w:rsidRPr="000C57F6">
        <w:rPr>
          <w:rFonts w:ascii="Verdana" w:hAnsi="Verdana"/>
          <w:b/>
          <w:sz w:val="32"/>
          <w:szCs w:val="32"/>
        </w:rPr>
        <w:t xml:space="preserve">Online Tutorial 4 </w:t>
      </w:r>
    </w:p>
    <w:p w:rsidR="00001554" w:rsidRPr="000C57F6" w:rsidRDefault="00001554" w:rsidP="00001554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001554" w:rsidRPr="000C57F6" w:rsidRDefault="00001554" w:rsidP="00001554">
      <w:pPr>
        <w:spacing w:line="280" w:lineRule="atLeast"/>
        <w:ind w:left="2160" w:hanging="2160"/>
        <w:rPr>
          <w:rFonts w:ascii="Verdana" w:hAnsi="Verdana"/>
          <w:b/>
          <w:bCs/>
          <w:sz w:val="24"/>
          <w:lang w:val="en-US"/>
        </w:rPr>
      </w:pPr>
      <w:r w:rsidRPr="000C57F6">
        <w:rPr>
          <w:rFonts w:ascii="Verdana" w:hAnsi="Verdana"/>
          <w:sz w:val="24"/>
          <w:u w:val="single"/>
        </w:rPr>
        <w:t>Topic</w:t>
      </w:r>
      <w:r w:rsidRPr="000C57F6">
        <w:rPr>
          <w:rFonts w:ascii="Verdana" w:hAnsi="Verdana"/>
          <w:sz w:val="24"/>
        </w:rPr>
        <w:t xml:space="preserve">:  </w:t>
      </w:r>
      <w:r w:rsidRPr="000C57F6">
        <w:rPr>
          <w:rFonts w:ascii="Verdana" w:hAnsi="Verdana"/>
          <w:b/>
          <w:bCs/>
          <w:sz w:val="24"/>
        </w:rPr>
        <w:t>Trade in goods and GATT</w:t>
      </w:r>
      <w:r>
        <w:rPr>
          <w:rFonts w:ascii="Verdana" w:hAnsi="Verdana"/>
          <w:b/>
          <w:bCs/>
          <w:sz w:val="24"/>
        </w:rPr>
        <w:t>;</w:t>
      </w:r>
      <w:r w:rsidRPr="000C57F6">
        <w:rPr>
          <w:rFonts w:ascii="Verdana" w:hAnsi="Verdana"/>
          <w:b/>
          <w:bCs/>
          <w:sz w:val="24"/>
        </w:rPr>
        <w:t xml:space="preserve"> General exceptions and operation of the Dispute Settlement Body</w:t>
      </w:r>
    </w:p>
    <w:p w:rsidR="00001554" w:rsidRPr="000C57F6" w:rsidRDefault="00001554" w:rsidP="00001554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001554" w:rsidRPr="000C57F6" w:rsidRDefault="00001554" w:rsidP="00001554">
      <w:pPr>
        <w:spacing w:line="280" w:lineRule="atLeast"/>
        <w:ind w:left="2160" w:hanging="21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G</w:t>
      </w:r>
      <w:r w:rsidRPr="000C57F6">
        <w:rPr>
          <w:rFonts w:ascii="Verdana" w:hAnsi="Verdana"/>
          <w:sz w:val="24"/>
        </w:rPr>
        <w:t>o over Unit 4 power point slides</w:t>
      </w:r>
    </w:p>
    <w:p w:rsidR="00001554" w:rsidRPr="000C57F6" w:rsidRDefault="00001554" w:rsidP="00001554">
      <w:pPr>
        <w:spacing w:line="280" w:lineRule="atLeast"/>
        <w:ind w:left="2160" w:hanging="2160"/>
        <w:rPr>
          <w:rFonts w:ascii="Verdana" w:hAnsi="Verdana"/>
          <w:sz w:val="24"/>
          <w:u w:val="single"/>
        </w:rPr>
      </w:pPr>
    </w:p>
    <w:p w:rsidR="00001554" w:rsidRPr="000C57F6" w:rsidRDefault="00001554" w:rsidP="00001554">
      <w:pPr>
        <w:spacing w:line="280" w:lineRule="atLeast"/>
        <w:ind w:left="2160" w:hanging="2160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  <w:u w:val="single"/>
        </w:rPr>
        <w:t>Reading</w:t>
      </w:r>
      <w:r w:rsidRPr="000C57F6">
        <w:rPr>
          <w:rFonts w:ascii="Verdana" w:hAnsi="Verdana"/>
          <w:sz w:val="24"/>
        </w:rPr>
        <w:t>:</w:t>
      </w:r>
      <w:r w:rsidRPr="000C57F6">
        <w:rPr>
          <w:rFonts w:ascii="Verdana" w:hAnsi="Verdana"/>
          <w:sz w:val="24"/>
        </w:rPr>
        <w:tab/>
        <w:t>Workbook Unit 4</w:t>
      </w:r>
    </w:p>
    <w:p w:rsidR="00001554" w:rsidRDefault="00001554" w:rsidP="00001554">
      <w:pPr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                        Respective pages of the </w:t>
      </w:r>
      <w:proofErr w:type="spellStart"/>
      <w:r w:rsidRPr="00463559">
        <w:rPr>
          <w:rFonts w:ascii="Verdana" w:hAnsi="Verdana"/>
          <w:sz w:val="24"/>
        </w:rPr>
        <w:t>Trebilcock</w:t>
      </w:r>
      <w:proofErr w:type="spellEnd"/>
      <w:r w:rsidRPr="00463559">
        <w:rPr>
          <w:rFonts w:ascii="Verdana" w:hAnsi="Verdana"/>
          <w:sz w:val="24"/>
        </w:rPr>
        <w:t xml:space="preserve">, </w:t>
      </w:r>
      <w:proofErr w:type="spellStart"/>
      <w:r w:rsidRPr="00463559">
        <w:rPr>
          <w:rFonts w:ascii="Verdana" w:hAnsi="Verdana"/>
          <w:sz w:val="24"/>
        </w:rPr>
        <w:t>Howse</w:t>
      </w:r>
      <w:proofErr w:type="spellEnd"/>
      <w:r w:rsidRPr="00463559">
        <w:rPr>
          <w:rFonts w:ascii="Verdana" w:hAnsi="Verdana"/>
          <w:sz w:val="24"/>
        </w:rPr>
        <w:t xml:space="preserve"> and </w:t>
      </w:r>
      <w:proofErr w:type="spellStart"/>
      <w:r w:rsidRPr="00463559">
        <w:rPr>
          <w:rFonts w:ascii="Verdana" w:hAnsi="Verdana"/>
          <w:sz w:val="24"/>
        </w:rPr>
        <w:t>Eliason</w:t>
      </w:r>
      <w:proofErr w:type="spellEnd"/>
    </w:p>
    <w:p w:rsidR="00001554" w:rsidRPr="000C57F6" w:rsidRDefault="00001554" w:rsidP="00001554">
      <w:pPr>
        <w:jc w:val="both"/>
        <w:rPr>
          <w:rFonts w:ascii="Verdana" w:hAnsi="Verdana"/>
          <w:sz w:val="24"/>
        </w:rPr>
      </w:pPr>
    </w:p>
    <w:p w:rsidR="00001554" w:rsidRPr="000C57F6" w:rsidRDefault="007D63A6" w:rsidP="00001554">
      <w:pPr>
        <w:jc w:val="both"/>
        <w:rPr>
          <w:rFonts w:ascii="Verdana" w:hAnsi="Verdana"/>
          <w:sz w:val="24"/>
          <w:u w:val="single"/>
        </w:rPr>
      </w:pPr>
      <w:r>
        <w:rPr>
          <w:rFonts w:ascii="Verdana" w:hAnsi="Verdana"/>
          <w:sz w:val="24"/>
          <w:u w:val="single"/>
        </w:rPr>
        <w:t>Further reading</w:t>
      </w:r>
      <w:r w:rsidR="00001554" w:rsidRPr="000C57F6">
        <w:rPr>
          <w:rFonts w:ascii="Verdana" w:hAnsi="Verdana"/>
          <w:sz w:val="24"/>
          <w:u w:val="single"/>
        </w:rPr>
        <w:t>:</w:t>
      </w:r>
    </w:p>
    <w:p w:rsidR="007D63A6" w:rsidRDefault="007D63A6" w:rsidP="007D63A6">
      <w:pPr>
        <w:rPr>
          <w:rFonts w:ascii="Verdana" w:hAnsi="Verdana"/>
          <w:bCs/>
          <w:sz w:val="24"/>
        </w:rPr>
      </w:pPr>
    </w:p>
    <w:p w:rsidR="00001554" w:rsidRDefault="00001554" w:rsidP="007D63A6">
      <w:proofErr w:type="spellStart"/>
      <w:r w:rsidRPr="000C57F6">
        <w:rPr>
          <w:rFonts w:ascii="Verdana" w:hAnsi="Verdana"/>
          <w:bCs/>
          <w:sz w:val="24"/>
        </w:rPr>
        <w:t>Sungjoon</w:t>
      </w:r>
      <w:proofErr w:type="spellEnd"/>
      <w:r w:rsidRPr="000C57F6">
        <w:rPr>
          <w:rFonts w:ascii="Verdana" w:hAnsi="Verdana"/>
          <w:bCs/>
          <w:sz w:val="24"/>
        </w:rPr>
        <w:t xml:space="preserve"> Cho,</w:t>
      </w:r>
      <w:r w:rsidRPr="000C57F6">
        <w:rPr>
          <w:rFonts w:ascii="Verdana" w:hAnsi="Verdana"/>
          <w:sz w:val="24"/>
        </w:rPr>
        <w:t> “</w:t>
      </w:r>
      <w:r w:rsidRPr="000C57F6">
        <w:rPr>
          <w:rFonts w:ascii="Verdana" w:hAnsi="Verdana"/>
          <w:iCs/>
          <w:sz w:val="24"/>
        </w:rPr>
        <w:t>Gasoline: United States – Standards for Reformulated and Conventional Gasoline”</w:t>
      </w:r>
      <w:r w:rsidRPr="000C57F6">
        <w:rPr>
          <w:rFonts w:ascii="Verdana" w:hAnsi="Verdana"/>
          <w:sz w:val="24"/>
        </w:rPr>
        <w:t xml:space="preserve"> (1998) 9(1) European Journal of International Law, p.182</w:t>
      </w:r>
      <w:r w:rsidR="007D63A6">
        <w:rPr>
          <w:rFonts w:ascii="Verdana" w:hAnsi="Verdana"/>
          <w:sz w:val="24"/>
        </w:rPr>
        <w:t xml:space="preserve"> available at</w:t>
      </w:r>
      <w:r w:rsidRPr="000C57F6">
        <w:rPr>
          <w:rFonts w:ascii="Verdana" w:hAnsi="Verdana"/>
          <w:sz w:val="24"/>
        </w:rPr>
        <w:t xml:space="preserve"> </w:t>
      </w:r>
      <w:hyperlink r:id="rId5" w:history="1">
        <w:r w:rsidRPr="000C57F6">
          <w:rPr>
            <w:rStyle w:val="Hyperlink"/>
            <w:rFonts w:ascii="Verdana" w:hAnsi="Verdana"/>
            <w:sz w:val="24"/>
          </w:rPr>
          <w:t>http://207.57.19.226/journal/Vol9/No1/sr1a.html</w:t>
        </w:r>
      </w:hyperlink>
    </w:p>
    <w:p w:rsidR="007D63A6" w:rsidRPr="000C57F6" w:rsidRDefault="007D63A6" w:rsidP="007D63A6">
      <w:pPr>
        <w:rPr>
          <w:rFonts w:ascii="Verdana" w:hAnsi="Verdana"/>
          <w:sz w:val="24"/>
        </w:rPr>
      </w:pPr>
    </w:p>
    <w:p w:rsidR="00001554" w:rsidRPr="000C57F6" w:rsidRDefault="00001554" w:rsidP="00001554">
      <w:pPr>
        <w:pBdr>
          <w:bottom w:val="single" w:sz="2" w:space="1" w:color="auto"/>
        </w:pBdr>
        <w:spacing w:line="280" w:lineRule="atLeast"/>
        <w:rPr>
          <w:rFonts w:ascii="Verdana" w:hAnsi="Verdana"/>
          <w:sz w:val="24"/>
        </w:rPr>
      </w:pPr>
    </w:p>
    <w:p w:rsidR="00001554" w:rsidRPr="000C57F6" w:rsidRDefault="00001554" w:rsidP="00001554">
      <w:pPr>
        <w:spacing w:line="360" w:lineRule="auto"/>
        <w:ind w:left="1440"/>
        <w:jc w:val="both"/>
        <w:rPr>
          <w:rFonts w:ascii="Verdana" w:hAnsi="Verdana"/>
          <w:sz w:val="24"/>
        </w:rPr>
      </w:pPr>
    </w:p>
    <w:p w:rsidR="00001554" w:rsidRPr="000C57F6" w:rsidRDefault="00001554" w:rsidP="00001554">
      <w:pPr>
        <w:spacing w:line="280" w:lineRule="atLeast"/>
        <w:jc w:val="both"/>
        <w:rPr>
          <w:rFonts w:ascii="Verdana" w:hAnsi="Verdana" w:cs="Verdana"/>
          <w:b/>
          <w:i/>
          <w:sz w:val="24"/>
          <w:u w:val="single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Learning outcomes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001554" w:rsidRPr="000C57F6" w:rsidRDefault="00001554" w:rsidP="00001554">
      <w:pPr>
        <w:numPr>
          <w:ilvl w:val="0"/>
          <w:numId w:val="1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understand and be able to critically discuss the key principles governing international trade;</w:t>
      </w:r>
    </w:p>
    <w:p w:rsidR="00001554" w:rsidRPr="000C57F6" w:rsidRDefault="00001554" w:rsidP="00001554">
      <w:pPr>
        <w:numPr>
          <w:ilvl w:val="0"/>
          <w:numId w:val="1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 xml:space="preserve">To distinguish and explain the general exceptions under </w:t>
      </w:r>
      <w:smartTag w:uri="urn:schemas-microsoft-com:office:smarttags" w:element="stockticker">
        <w:r w:rsidRPr="000C57F6">
          <w:rPr>
            <w:rFonts w:ascii="Verdana" w:hAnsi="Verdana"/>
            <w:sz w:val="24"/>
          </w:rPr>
          <w:t>GATT;</w:t>
        </w:r>
      </w:smartTag>
    </w:p>
    <w:p w:rsidR="00001554" w:rsidRPr="000C57F6" w:rsidRDefault="00001554" w:rsidP="00001554">
      <w:pPr>
        <w:numPr>
          <w:ilvl w:val="0"/>
          <w:numId w:val="1"/>
        </w:numPr>
        <w:jc w:val="both"/>
        <w:rPr>
          <w:rFonts w:ascii="Verdana" w:hAnsi="Verdana"/>
          <w:sz w:val="24"/>
        </w:rPr>
      </w:pPr>
      <w:r w:rsidRPr="000C57F6">
        <w:rPr>
          <w:rFonts w:ascii="Verdana" w:hAnsi="Verdana"/>
          <w:sz w:val="24"/>
        </w:rPr>
        <w:t>To research an Appellate Body Report and prepare a case note.</w:t>
      </w:r>
    </w:p>
    <w:p w:rsidR="00001554" w:rsidRPr="000C57F6" w:rsidRDefault="00001554" w:rsidP="00001554">
      <w:pPr>
        <w:spacing w:line="360" w:lineRule="auto"/>
        <w:ind w:left="1440"/>
        <w:jc w:val="both"/>
        <w:rPr>
          <w:rFonts w:ascii="Verdana" w:hAnsi="Verdana"/>
          <w:sz w:val="24"/>
          <w:u w:val="single"/>
        </w:rPr>
      </w:pPr>
    </w:p>
    <w:p w:rsidR="00001554" w:rsidRPr="000C57F6" w:rsidRDefault="00001554" w:rsidP="00001554">
      <w:pPr>
        <w:jc w:val="both"/>
        <w:rPr>
          <w:rFonts w:ascii="Verdana" w:hAnsi="Verdana" w:cs="Verdana"/>
          <w:b/>
          <w:i/>
          <w:sz w:val="24"/>
        </w:rPr>
      </w:pPr>
      <w:r w:rsidRPr="000C57F6">
        <w:rPr>
          <w:rFonts w:ascii="Verdana" w:hAnsi="Verdana" w:cs="Verdana"/>
          <w:b/>
          <w:i/>
          <w:sz w:val="24"/>
          <w:u w:val="single"/>
        </w:rPr>
        <w:t>Online Tutorial tasks</w:t>
      </w:r>
      <w:r w:rsidRPr="000C57F6">
        <w:rPr>
          <w:rFonts w:ascii="Verdana" w:hAnsi="Verdana" w:cs="Verdana"/>
          <w:b/>
          <w:i/>
          <w:sz w:val="24"/>
        </w:rPr>
        <w:t>:</w:t>
      </w:r>
    </w:p>
    <w:p w:rsidR="00001554" w:rsidRPr="000C57F6" w:rsidRDefault="00001554" w:rsidP="00001554">
      <w:pPr>
        <w:jc w:val="both"/>
        <w:rPr>
          <w:rFonts w:ascii="Verdana" w:hAnsi="Verdana"/>
          <w:sz w:val="24"/>
          <w:lang w:eastAsia="en-GB"/>
        </w:rPr>
      </w:pPr>
    </w:p>
    <w:p w:rsidR="00001554" w:rsidRPr="000C57F6" w:rsidRDefault="00001554" w:rsidP="00001554">
      <w:pPr>
        <w:pStyle w:val="ListParagraph"/>
        <w:numPr>
          <w:ilvl w:val="0"/>
          <w:numId w:val="4"/>
        </w:numPr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sz w:val="24"/>
          <w:lang w:eastAsia="en-GB"/>
        </w:rPr>
        <w:t xml:space="preserve">Read the following Appellate Body Report: </w:t>
      </w:r>
      <w:r w:rsidRPr="000C57F6">
        <w:rPr>
          <w:rFonts w:ascii="Verdana" w:hAnsi="Verdana"/>
          <w:i/>
          <w:sz w:val="24"/>
          <w:u w:val="single"/>
          <w:lang w:eastAsia="en-GB"/>
        </w:rPr>
        <w:t>Gasoline: United States – Standards for Reformulated and Conventional Gasoline</w:t>
      </w:r>
      <w:r w:rsidRPr="000C57F6">
        <w:rPr>
          <w:rFonts w:ascii="Verdana" w:hAnsi="Verdana"/>
          <w:sz w:val="24"/>
          <w:lang w:eastAsia="en-GB"/>
        </w:rPr>
        <w:t xml:space="preserve">, AB-1996-1, WT/DS2/9, Report adopted 20 May 1996. </w:t>
      </w:r>
    </w:p>
    <w:p w:rsidR="00001554" w:rsidRPr="000C57F6" w:rsidRDefault="00001554" w:rsidP="00001554">
      <w:pPr>
        <w:numPr>
          <w:ilvl w:val="1"/>
          <w:numId w:val="3"/>
        </w:numPr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sz w:val="24"/>
          <w:lang w:eastAsia="en-GB"/>
        </w:rPr>
        <w:t xml:space="preserve">This is one of the first WTO Cases and it can be found at:               </w:t>
      </w:r>
      <w:hyperlink r:id="rId6" w:history="1">
        <w:r w:rsidRPr="000C57F6">
          <w:rPr>
            <w:rStyle w:val="Hyperlink"/>
            <w:rFonts w:ascii="Verdana" w:hAnsi="Verdana"/>
            <w:sz w:val="24"/>
            <w:lang w:eastAsia="en-GB"/>
          </w:rPr>
          <w:t>http://www.wto.org/english/tratop_e/dispu_e/cases_e/ds4_e.htm</w:t>
        </w:r>
      </w:hyperlink>
    </w:p>
    <w:p w:rsidR="00001554" w:rsidRPr="000C57F6" w:rsidRDefault="00001554" w:rsidP="00001554">
      <w:pPr>
        <w:ind w:left="1440"/>
        <w:jc w:val="both"/>
        <w:rPr>
          <w:rFonts w:ascii="Verdana" w:hAnsi="Verdana"/>
          <w:sz w:val="24"/>
        </w:rPr>
      </w:pPr>
    </w:p>
    <w:p w:rsidR="00001554" w:rsidRPr="000C57F6" w:rsidRDefault="00001554" w:rsidP="00001554">
      <w:pPr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b/>
          <w:sz w:val="28"/>
          <w:szCs w:val="28"/>
        </w:rPr>
        <w:t xml:space="preserve">   </w:t>
      </w:r>
      <w:r w:rsidRPr="000C57F6">
        <w:rPr>
          <w:rFonts w:ascii="Verdana" w:hAnsi="Verdana"/>
          <w:b/>
          <w:sz w:val="28"/>
          <w:szCs w:val="28"/>
          <w:u w:val="single"/>
        </w:rPr>
        <w:t xml:space="preserve">Online Assessment </w:t>
      </w:r>
      <w:r w:rsidR="0002447D">
        <w:rPr>
          <w:rFonts w:ascii="Verdana" w:hAnsi="Verdana"/>
          <w:b/>
          <w:sz w:val="28"/>
          <w:szCs w:val="28"/>
          <w:u w:val="single"/>
        </w:rPr>
        <w:t>2</w:t>
      </w:r>
      <w:r w:rsidRPr="000C57F6">
        <w:rPr>
          <w:rFonts w:ascii="Verdana" w:hAnsi="Verdana"/>
          <w:b/>
          <w:sz w:val="28"/>
          <w:szCs w:val="28"/>
          <w:u w:val="single"/>
        </w:rPr>
        <w:t>:</w:t>
      </w:r>
      <w:r w:rsidRPr="000C57F6">
        <w:rPr>
          <w:rFonts w:ascii="Verdana" w:hAnsi="Verdana"/>
          <w:sz w:val="24"/>
          <w:lang w:eastAsia="en-GB"/>
        </w:rPr>
        <w:t xml:space="preserve"> Prepare and upload via MOODLE a    </w:t>
      </w:r>
    </w:p>
    <w:p w:rsidR="00001554" w:rsidRPr="000C57F6" w:rsidRDefault="00001554" w:rsidP="00001554">
      <w:pPr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sz w:val="24"/>
          <w:lang w:eastAsia="en-GB"/>
        </w:rPr>
        <w:t xml:space="preserve">    </w:t>
      </w:r>
      <w:proofErr w:type="gramStart"/>
      <w:r w:rsidRPr="000C57F6">
        <w:rPr>
          <w:rFonts w:ascii="Verdana" w:hAnsi="Verdana"/>
          <w:sz w:val="24"/>
          <w:lang w:eastAsia="en-GB"/>
        </w:rPr>
        <w:t>written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report on the </w:t>
      </w:r>
      <w:r>
        <w:rPr>
          <w:rFonts w:ascii="Verdana" w:hAnsi="Verdana"/>
          <w:sz w:val="24"/>
          <w:lang w:eastAsia="en-GB"/>
        </w:rPr>
        <w:t>dispute</w:t>
      </w:r>
      <w:r w:rsidRPr="000C57F6">
        <w:rPr>
          <w:rFonts w:ascii="Verdana" w:hAnsi="Verdana"/>
          <w:sz w:val="24"/>
          <w:lang w:eastAsia="en-GB"/>
        </w:rPr>
        <w:t xml:space="preserve">. </w:t>
      </w:r>
      <w:r w:rsidRPr="000C57F6">
        <w:rPr>
          <w:rFonts w:ascii="Verdana" w:hAnsi="Verdana"/>
          <w:i/>
          <w:sz w:val="24"/>
          <w:lang w:eastAsia="en-GB"/>
        </w:rPr>
        <w:t>[10</w:t>
      </w:r>
      <w:r>
        <w:rPr>
          <w:rFonts w:ascii="Verdana" w:hAnsi="Verdana"/>
          <w:i/>
          <w:sz w:val="24"/>
          <w:lang w:eastAsia="en-GB"/>
        </w:rPr>
        <w:t>% of your final mark</w:t>
      </w:r>
      <w:r w:rsidRPr="000C57F6">
        <w:rPr>
          <w:rFonts w:ascii="Verdana" w:hAnsi="Verdana"/>
          <w:i/>
          <w:sz w:val="24"/>
          <w:lang w:eastAsia="en-GB"/>
        </w:rPr>
        <w:t>]</w:t>
      </w:r>
      <w:r w:rsidRPr="000C57F6">
        <w:rPr>
          <w:rFonts w:ascii="Verdana" w:hAnsi="Verdana"/>
          <w:sz w:val="24"/>
          <w:lang w:eastAsia="en-GB"/>
        </w:rPr>
        <w:t xml:space="preserve"> </w:t>
      </w:r>
    </w:p>
    <w:p w:rsidR="00001554" w:rsidRPr="000C57F6" w:rsidRDefault="00001554" w:rsidP="00001554">
      <w:pPr>
        <w:jc w:val="both"/>
        <w:rPr>
          <w:rFonts w:ascii="Verdana" w:hAnsi="Verdana"/>
          <w:sz w:val="24"/>
          <w:lang w:eastAsia="en-GB"/>
        </w:rPr>
      </w:pPr>
      <w:r w:rsidRPr="000C57F6">
        <w:rPr>
          <w:rFonts w:ascii="Verdana" w:hAnsi="Verdana"/>
          <w:sz w:val="24"/>
          <w:lang w:eastAsia="en-GB"/>
        </w:rPr>
        <w:t xml:space="preserve">    Include the following information: </w:t>
      </w:r>
    </w:p>
    <w:p w:rsidR="00001554" w:rsidRPr="000C57F6" w:rsidRDefault="00001554" w:rsidP="00001554">
      <w:pPr>
        <w:numPr>
          <w:ilvl w:val="1"/>
          <w:numId w:val="2"/>
        </w:numPr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t>who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were the parties to this case?</w:t>
      </w:r>
    </w:p>
    <w:p w:rsidR="00001554" w:rsidRPr="000C57F6" w:rsidRDefault="00001554" w:rsidP="00001554">
      <w:pPr>
        <w:numPr>
          <w:ilvl w:val="1"/>
          <w:numId w:val="2"/>
        </w:numPr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t>how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did this case get to the WTO Appellate Body? Briefly describe the procedure and the time scales in this case</w:t>
      </w:r>
    </w:p>
    <w:p w:rsidR="00001554" w:rsidRPr="000C57F6" w:rsidRDefault="00001554" w:rsidP="00001554">
      <w:pPr>
        <w:numPr>
          <w:ilvl w:val="1"/>
          <w:numId w:val="2"/>
        </w:numPr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t>what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was the dispute which gave rise to this case? </w:t>
      </w:r>
      <w:proofErr w:type="gramStart"/>
      <w:r w:rsidRPr="000C57F6">
        <w:rPr>
          <w:rFonts w:ascii="Verdana" w:hAnsi="Verdana"/>
          <w:sz w:val="24"/>
          <w:lang w:eastAsia="en-GB"/>
        </w:rPr>
        <w:t>i.e</w:t>
      </w:r>
      <w:proofErr w:type="gramEnd"/>
      <w:r w:rsidRPr="000C57F6">
        <w:rPr>
          <w:rFonts w:ascii="Verdana" w:hAnsi="Verdana"/>
          <w:sz w:val="24"/>
          <w:lang w:eastAsia="en-GB"/>
        </w:rPr>
        <w:t>. who was the complainant and in what way did they allege that they had been disadvantaged?</w:t>
      </w:r>
    </w:p>
    <w:p w:rsidR="00001554" w:rsidRPr="000C57F6" w:rsidRDefault="00001554" w:rsidP="00001554">
      <w:pPr>
        <w:numPr>
          <w:ilvl w:val="1"/>
          <w:numId w:val="2"/>
        </w:numPr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t>what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articles/agreements of the </w:t>
      </w:r>
      <w:smartTag w:uri="urn:schemas-microsoft-com:office:smarttags" w:element="stockticker">
        <w:r w:rsidRPr="000C57F6">
          <w:rPr>
            <w:rFonts w:ascii="Verdana" w:hAnsi="Verdana"/>
            <w:sz w:val="24"/>
            <w:lang w:eastAsia="en-GB"/>
          </w:rPr>
          <w:t>GATT</w:t>
        </w:r>
      </w:smartTag>
      <w:r w:rsidRPr="000C57F6">
        <w:rPr>
          <w:rFonts w:ascii="Verdana" w:hAnsi="Verdana"/>
          <w:sz w:val="24"/>
          <w:lang w:eastAsia="en-GB"/>
        </w:rPr>
        <w:t xml:space="preserve"> were relevant to this dispute?</w:t>
      </w:r>
    </w:p>
    <w:p w:rsidR="00001554" w:rsidRPr="000C57F6" w:rsidRDefault="00001554" w:rsidP="00001554">
      <w:pPr>
        <w:numPr>
          <w:ilvl w:val="1"/>
          <w:numId w:val="2"/>
        </w:numPr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t>what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were the Panel’s conclusion on Article </w:t>
      </w:r>
      <w:smartTag w:uri="urn:schemas-microsoft-com:office:smarttags" w:element="stockticker">
        <w:r w:rsidRPr="000C57F6">
          <w:rPr>
            <w:rFonts w:ascii="Verdana" w:hAnsi="Verdana"/>
            <w:sz w:val="24"/>
            <w:lang w:eastAsia="en-GB"/>
          </w:rPr>
          <w:t>III</w:t>
        </w:r>
      </w:smartTag>
      <w:r w:rsidRPr="000C57F6">
        <w:rPr>
          <w:rFonts w:ascii="Verdana" w:hAnsi="Verdana"/>
          <w:sz w:val="24"/>
          <w:lang w:eastAsia="en-GB"/>
        </w:rPr>
        <w:t xml:space="preserve">, paragraph 4 of </w:t>
      </w:r>
      <w:smartTag w:uri="urn:schemas-microsoft-com:office:smarttags" w:element="stockticker">
        <w:r w:rsidRPr="000C57F6">
          <w:rPr>
            <w:rFonts w:ascii="Verdana" w:hAnsi="Verdana"/>
            <w:sz w:val="24"/>
            <w:lang w:eastAsia="en-GB"/>
          </w:rPr>
          <w:t>GATT</w:t>
        </w:r>
      </w:smartTag>
      <w:r w:rsidRPr="000C57F6">
        <w:rPr>
          <w:rFonts w:ascii="Verdana" w:hAnsi="Verdana"/>
          <w:sz w:val="24"/>
          <w:lang w:eastAsia="en-GB"/>
        </w:rPr>
        <w:t>?</w:t>
      </w:r>
    </w:p>
    <w:p w:rsidR="00001554" w:rsidRPr="000C57F6" w:rsidRDefault="00001554" w:rsidP="00001554">
      <w:pPr>
        <w:numPr>
          <w:ilvl w:val="1"/>
          <w:numId w:val="2"/>
        </w:numPr>
        <w:jc w:val="both"/>
        <w:rPr>
          <w:rFonts w:ascii="Verdana" w:hAnsi="Verdana"/>
          <w:sz w:val="24"/>
          <w:lang w:eastAsia="en-GB"/>
        </w:rPr>
      </w:pPr>
      <w:proofErr w:type="gramStart"/>
      <w:r w:rsidRPr="000C57F6">
        <w:rPr>
          <w:rFonts w:ascii="Verdana" w:hAnsi="Verdana"/>
          <w:sz w:val="24"/>
          <w:lang w:eastAsia="en-GB"/>
        </w:rPr>
        <w:lastRenderedPageBreak/>
        <w:t>explain</w:t>
      </w:r>
      <w:proofErr w:type="gramEnd"/>
      <w:r w:rsidRPr="000C57F6">
        <w:rPr>
          <w:rFonts w:ascii="Verdana" w:hAnsi="Verdana"/>
          <w:sz w:val="24"/>
          <w:lang w:eastAsia="en-GB"/>
        </w:rPr>
        <w:t xml:space="preserve"> the purpose and intent of Article XX of </w:t>
      </w:r>
      <w:smartTag w:uri="urn:schemas-microsoft-com:office:smarttags" w:element="stockticker">
        <w:r w:rsidRPr="000C57F6">
          <w:rPr>
            <w:rFonts w:ascii="Verdana" w:hAnsi="Verdana"/>
            <w:sz w:val="24"/>
            <w:lang w:eastAsia="en-GB"/>
          </w:rPr>
          <w:t>GATT</w:t>
        </w:r>
      </w:smartTag>
      <w:r w:rsidRPr="000C57F6">
        <w:rPr>
          <w:rFonts w:ascii="Verdana" w:hAnsi="Verdana"/>
          <w:sz w:val="24"/>
          <w:lang w:eastAsia="en-GB"/>
        </w:rPr>
        <w:t xml:space="preserve">; did the Panel think that the actions of the </w:t>
      </w:r>
      <w:smartTag w:uri="urn:schemas-microsoft-com:office:smarttags" w:element="country-region">
        <w:smartTag w:uri="urn:schemas-microsoft-com:office:smarttags" w:element="place">
          <w:r w:rsidRPr="000C57F6">
            <w:rPr>
              <w:rFonts w:ascii="Verdana" w:hAnsi="Verdana"/>
              <w:sz w:val="24"/>
              <w:lang w:eastAsia="en-GB"/>
            </w:rPr>
            <w:t>United States</w:t>
          </w:r>
        </w:smartTag>
      </w:smartTag>
      <w:r w:rsidRPr="000C57F6">
        <w:rPr>
          <w:rFonts w:ascii="Verdana" w:hAnsi="Verdana"/>
          <w:sz w:val="24"/>
          <w:lang w:eastAsia="en-GB"/>
        </w:rPr>
        <w:t xml:space="preserve"> were justified in the light of Article XX?</w:t>
      </w:r>
    </w:p>
    <w:p w:rsidR="00001554" w:rsidRPr="000C57F6" w:rsidRDefault="00001554" w:rsidP="00001554">
      <w:pPr>
        <w:ind w:left="540" w:hanging="540"/>
        <w:jc w:val="both"/>
        <w:rPr>
          <w:rFonts w:ascii="Verdana" w:hAnsi="Verdana" w:cs="Verdana"/>
          <w:b/>
          <w:i/>
          <w:szCs w:val="22"/>
          <w:u w:val="single"/>
        </w:rPr>
      </w:pPr>
    </w:p>
    <w:p w:rsidR="00001554" w:rsidRPr="000C57F6" w:rsidRDefault="00001554" w:rsidP="00001554">
      <w:pPr>
        <w:ind w:left="540" w:hanging="540"/>
        <w:jc w:val="both"/>
        <w:rPr>
          <w:rFonts w:ascii="Verdana" w:hAnsi="Verdana" w:cs="Verdana"/>
          <w:b/>
          <w:i/>
          <w:szCs w:val="22"/>
          <w:u w:val="single"/>
        </w:rPr>
      </w:pPr>
    </w:p>
    <w:p w:rsidR="00001554" w:rsidRPr="000C57F6" w:rsidRDefault="00001554" w:rsidP="00001554">
      <w:pPr>
        <w:jc w:val="both"/>
        <w:rPr>
          <w:rFonts w:ascii="Verdana" w:hAnsi="Verdana"/>
          <w:sz w:val="24"/>
        </w:rPr>
      </w:pPr>
    </w:p>
    <w:p w:rsidR="00001554" w:rsidRDefault="00001554" w:rsidP="00001554">
      <w:pPr>
        <w:jc w:val="both"/>
        <w:rPr>
          <w:rFonts w:ascii="Verdana" w:hAnsi="Verdana" w:cs="Verdana"/>
          <w:b/>
          <w:i/>
          <w:sz w:val="24"/>
        </w:rPr>
      </w:pPr>
      <w:r w:rsidRPr="00051559">
        <w:rPr>
          <w:rFonts w:ascii="Verdana" w:hAnsi="Verdana" w:cs="Verdana"/>
          <w:b/>
          <w:i/>
          <w:sz w:val="24"/>
          <w:u w:val="single"/>
        </w:rPr>
        <w:t>In time for the final session</w:t>
      </w:r>
      <w:r w:rsidRPr="00051559">
        <w:rPr>
          <w:rFonts w:ascii="Verdana" w:hAnsi="Verdana" w:cs="Verdana"/>
          <w:b/>
          <w:i/>
          <w:sz w:val="24"/>
        </w:rPr>
        <w:t>:</w:t>
      </w:r>
    </w:p>
    <w:p w:rsidR="00001554" w:rsidRPr="00051559" w:rsidRDefault="00001554" w:rsidP="00001554">
      <w:pPr>
        <w:pStyle w:val="ListParagraph"/>
        <w:numPr>
          <w:ilvl w:val="0"/>
          <w:numId w:val="6"/>
        </w:numPr>
        <w:jc w:val="both"/>
        <w:rPr>
          <w:rFonts w:ascii="Verdana" w:hAnsi="Verdana" w:cs="Verdana"/>
          <w:b/>
          <w:i/>
          <w:szCs w:val="22"/>
          <w:u w:val="single"/>
        </w:rPr>
      </w:pPr>
      <w:r w:rsidRPr="00051559">
        <w:rPr>
          <w:rFonts w:ascii="Verdana" w:hAnsi="Verdana" w:cs="Verdana"/>
          <w:sz w:val="24"/>
        </w:rPr>
        <w:t>Reflect on what have you learnt about dispute resolution procedure under WTO. How efficient is it? Which problems and possible solutions can you identify</w:t>
      </w:r>
      <w:r>
        <w:rPr>
          <w:rFonts w:ascii="Verdana" w:hAnsi="Verdana" w:cs="Verdana"/>
          <w:sz w:val="24"/>
        </w:rPr>
        <w:t>?</w:t>
      </w:r>
    </w:p>
    <w:p w:rsidR="00001554" w:rsidRPr="000C57F6" w:rsidRDefault="00001554" w:rsidP="00001554">
      <w:pPr>
        <w:pStyle w:val="ListParagraph"/>
        <w:numPr>
          <w:ilvl w:val="0"/>
          <w:numId w:val="5"/>
        </w:numPr>
        <w:jc w:val="both"/>
        <w:rPr>
          <w:rFonts w:ascii="Verdana" w:hAnsi="Verdana" w:cs="Verdana"/>
          <w:b/>
          <w:i/>
          <w:szCs w:val="22"/>
          <w:u w:val="single"/>
        </w:rPr>
      </w:pPr>
      <w:r w:rsidRPr="000C57F6">
        <w:rPr>
          <w:rFonts w:ascii="Verdana" w:hAnsi="Verdana" w:cs="Verdana"/>
          <w:sz w:val="24"/>
        </w:rPr>
        <w:t>How easy it is for a WTO Member State to introduce tariff or non-tariff restrictions on free movement of goods?</w:t>
      </w:r>
    </w:p>
    <w:p w:rsidR="00001554" w:rsidRPr="000C57F6" w:rsidRDefault="00001554" w:rsidP="00001554">
      <w:pPr>
        <w:ind w:left="540" w:hanging="540"/>
        <w:jc w:val="both"/>
        <w:rPr>
          <w:rFonts w:ascii="Verdana" w:hAnsi="Verdana" w:cs="Verdana"/>
          <w:b/>
          <w:i/>
          <w:szCs w:val="22"/>
          <w:u w:val="single"/>
        </w:rPr>
      </w:pPr>
    </w:p>
    <w:p w:rsidR="00001554" w:rsidRPr="000C57F6" w:rsidRDefault="00001554" w:rsidP="00001554">
      <w:pPr>
        <w:jc w:val="both"/>
        <w:rPr>
          <w:rFonts w:ascii="Verdana" w:hAnsi="Verdana" w:cs="Verdana"/>
          <w:b/>
          <w:sz w:val="28"/>
          <w:szCs w:val="28"/>
          <w:u w:val="single"/>
        </w:rPr>
      </w:pPr>
    </w:p>
    <w:p w:rsidR="005825C6" w:rsidRDefault="005825C6"/>
    <w:sectPr w:rsidR="005825C6" w:rsidSect="00582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D80"/>
    <w:multiLevelType w:val="hybridMultilevel"/>
    <w:tmpl w:val="D840C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C13A5"/>
    <w:multiLevelType w:val="hybridMultilevel"/>
    <w:tmpl w:val="A8F2B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425"/>
    <w:multiLevelType w:val="hybridMultilevel"/>
    <w:tmpl w:val="67CEAF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6A11A6"/>
    <w:multiLevelType w:val="hybridMultilevel"/>
    <w:tmpl w:val="93E40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42F59"/>
    <w:multiLevelType w:val="hybridMultilevel"/>
    <w:tmpl w:val="E384BB6E"/>
    <w:lvl w:ilvl="0" w:tplc="080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E172BF"/>
    <w:multiLevelType w:val="hybridMultilevel"/>
    <w:tmpl w:val="33CC9238"/>
    <w:lvl w:ilvl="0" w:tplc="D57EF10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1554"/>
    <w:rsid w:val="00001554"/>
    <w:rsid w:val="0002447D"/>
    <w:rsid w:val="005825C6"/>
    <w:rsid w:val="007D63A6"/>
    <w:rsid w:val="008007CF"/>
    <w:rsid w:val="00CE7BDF"/>
    <w:rsid w:val="00E06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ockticker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554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0155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01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to.org/english/tratop_e/dispu_e/cases_e/ds4_e.htm" TargetMode="External"/><Relationship Id="rId5" Type="http://schemas.openxmlformats.org/officeDocument/2006/relationships/hyperlink" Target="http://207.57.19.226/journal/Vol9/No1/sr1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1920</Characters>
  <Application>Microsoft Office Word</Application>
  <DocSecurity>0</DocSecurity>
  <Lines>16</Lines>
  <Paragraphs>4</Paragraphs>
  <ScaleCrop>false</ScaleCrop>
  <Company>Leeds Metropolitan University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2012-09-15T10:06:00Z</dcterms:created>
  <dcterms:modified xsi:type="dcterms:W3CDTF">2012-09-16T09:18:00Z</dcterms:modified>
</cp:coreProperties>
</file>