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F0" w:rsidRPr="004F2328" w:rsidRDefault="00F940F0" w:rsidP="00F940F0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F2328">
        <w:rPr>
          <w:rFonts w:ascii="Times New Roman" w:hAnsi="Times New Roman"/>
          <w:i/>
          <w:sz w:val="24"/>
          <w:szCs w:val="24"/>
          <w:lang w:eastAsia="ru-RU"/>
        </w:rPr>
        <w:tab/>
      </w:r>
      <w:r w:rsidRPr="004F2328">
        <w:rPr>
          <w:rFonts w:ascii="Times New Roman" w:hAnsi="Times New Roman"/>
          <w:b/>
          <w:sz w:val="24"/>
          <w:szCs w:val="24"/>
          <w:lang w:eastAsia="ru-RU"/>
        </w:rPr>
        <w:t>Литература:</w:t>
      </w:r>
    </w:p>
    <w:p w:rsidR="00F940F0" w:rsidRPr="004F2328" w:rsidRDefault="00F940F0" w:rsidP="00F940F0">
      <w:pPr>
        <w:spacing w:before="120"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F2328">
        <w:rPr>
          <w:rFonts w:ascii="Times New Roman" w:hAnsi="Times New Roman"/>
          <w:i/>
          <w:sz w:val="24"/>
          <w:szCs w:val="24"/>
          <w:lang w:eastAsia="ru-RU"/>
        </w:rPr>
        <w:t>Основная</w:t>
      </w:r>
    </w:p>
    <w:p w:rsidR="00F940F0" w:rsidRPr="00AB6CCD" w:rsidRDefault="00F940F0" w:rsidP="00F940F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C6F6A">
        <w:rPr>
          <w:rFonts w:ascii="Times New Roman" w:hAnsi="Times New Roman"/>
          <w:sz w:val="24"/>
          <w:szCs w:val="24"/>
          <w:lang w:eastAsia="ru-RU"/>
        </w:rPr>
        <w:t xml:space="preserve">Перечень зон охраны материальных недвижимых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историк</w:t>
      </w:r>
      <w:proofErr w:type="gramStart"/>
      <w:r w:rsidRPr="008C6F6A"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>-</w:t>
      </w:r>
      <w:proofErr w:type="gram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культурных ценностей: </w:t>
      </w:r>
      <w:hyperlink r:id="rId5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http://kultura.gov.by/page/akhova-pratsy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940F0" w:rsidRPr="00AB6CCD" w:rsidRDefault="00F940F0" w:rsidP="00F940F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30C1A">
        <w:rPr>
          <w:rFonts w:ascii="Times New Roman" w:hAnsi="Times New Roman"/>
          <w:sz w:val="24"/>
          <w:szCs w:val="24"/>
          <w:lang w:eastAsia="ru-RU"/>
        </w:rPr>
        <w:t>З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акон </w:t>
      </w:r>
      <w:r w:rsidRPr="00A30C1A">
        <w:rPr>
          <w:rFonts w:ascii="Times New Roman" w:hAnsi="Times New Roman"/>
          <w:sz w:val="24"/>
          <w:szCs w:val="24"/>
          <w:lang w:eastAsia="ru-RU"/>
        </w:rPr>
        <w:t>Р</w:t>
      </w:r>
      <w:r w:rsidRPr="008C6F6A">
        <w:rPr>
          <w:rFonts w:ascii="Times New Roman" w:hAnsi="Times New Roman"/>
          <w:sz w:val="24"/>
          <w:szCs w:val="24"/>
          <w:lang w:eastAsia="ru-RU"/>
        </w:rPr>
        <w:t>еспублики  Беларусь</w:t>
      </w:r>
      <w:proofErr w:type="gramStart"/>
      <w:r w:rsidRPr="008C6F6A">
        <w:rPr>
          <w:rFonts w:ascii="Times New Roman" w:hAnsi="Times New Roman"/>
          <w:sz w:val="24"/>
          <w:szCs w:val="24"/>
          <w:lang w:eastAsia="ru-RU"/>
        </w:rPr>
        <w:t xml:space="preserve"> О</w:t>
      </w:r>
      <w:proofErr w:type="gram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б архитектурной, градостроительной и строительной деятельности в Республике Беларусь.- 5 июля 2004 г. № 300-З: </w:t>
      </w:r>
      <w:hyperlink r:id="rId6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http://www.pravo.by/main.aspx?guid=3871&amp;p0=h10400300&amp;p2={NRPA}</w:t>
        </w:r>
      </w:hyperlink>
    </w:p>
    <w:p w:rsidR="00F940F0" w:rsidRPr="00431A73" w:rsidRDefault="00F940F0" w:rsidP="00F940F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30C1A">
        <w:rPr>
          <w:rFonts w:ascii="Times New Roman" w:hAnsi="Times New Roman"/>
          <w:sz w:val="24"/>
          <w:szCs w:val="24"/>
          <w:lang w:eastAsia="ru-RU"/>
        </w:rPr>
        <w:t>З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акон </w:t>
      </w:r>
      <w:r w:rsidRPr="00A30C1A">
        <w:rPr>
          <w:rFonts w:ascii="Times New Roman" w:hAnsi="Times New Roman"/>
          <w:sz w:val="24"/>
          <w:szCs w:val="24"/>
          <w:lang w:eastAsia="ru-RU"/>
        </w:rPr>
        <w:t>Р</w:t>
      </w:r>
      <w:r w:rsidRPr="008C6F6A">
        <w:rPr>
          <w:rFonts w:ascii="Times New Roman" w:hAnsi="Times New Roman"/>
          <w:sz w:val="24"/>
          <w:szCs w:val="24"/>
          <w:lang w:eastAsia="ru-RU"/>
        </w:rPr>
        <w:t>еспублики  Беларусь</w:t>
      </w:r>
      <w:proofErr w:type="gramStart"/>
      <w:r w:rsidRPr="008C6F6A">
        <w:rPr>
          <w:rFonts w:ascii="Times New Roman" w:hAnsi="Times New Roman"/>
          <w:sz w:val="24"/>
          <w:szCs w:val="24"/>
          <w:lang w:eastAsia="ru-RU"/>
        </w:rPr>
        <w:t xml:space="preserve"> О</w:t>
      </w:r>
      <w:proofErr w:type="gramEnd"/>
      <w:r w:rsidRPr="008C6F6A">
        <w:rPr>
          <w:rFonts w:ascii="Times New Roman" w:hAnsi="Times New Roman"/>
          <w:sz w:val="24"/>
          <w:szCs w:val="24"/>
          <w:lang w:eastAsia="ru-RU"/>
        </w:rPr>
        <w:t>б особо охраняемых природных территориях.- 20 октября 1994 г. № 3335-XІІ</w:t>
      </w:r>
      <w:r>
        <w:rPr>
          <w:rFonts w:ascii="Times New Roman" w:hAnsi="Times New Roman"/>
          <w:sz w:val="24"/>
          <w:szCs w:val="24"/>
          <w:lang w:eastAsia="ru-RU"/>
        </w:rPr>
        <w:t>: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http://www.pravo.by/main.aspx?guid=3871&amp;p0=v19403335&amp;p2={NRPA}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940F0" w:rsidRDefault="00F940F0" w:rsidP="00F940F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Дзяржауны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спіс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гісторыка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культурных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каштоунасцей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Рэспублікі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Беларусь</w:t>
      </w:r>
      <w:proofErr w:type="gramStart"/>
      <w:r w:rsidRPr="00EE3F0A">
        <w:rPr>
          <w:rFonts w:ascii="Times New Roman" w:hAnsi="Times New Roman"/>
          <w:sz w:val="24"/>
          <w:szCs w:val="24"/>
          <w:lang w:eastAsia="ru-RU"/>
        </w:rPr>
        <w:t>ю-</w:t>
      </w:r>
      <w:proofErr w:type="gram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Міністэрства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культуры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Рэспублікі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 Беларусь.-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Мінск</w:t>
      </w:r>
      <w:proofErr w:type="spellEnd"/>
      <w:r w:rsidRPr="00EE3F0A">
        <w:rPr>
          <w:rFonts w:ascii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EE3F0A">
        <w:rPr>
          <w:rFonts w:ascii="Times New Roman" w:hAnsi="Times New Roman"/>
          <w:sz w:val="24"/>
          <w:szCs w:val="24"/>
          <w:lang w:eastAsia="ru-RU"/>
        </w:rPr>
        <w:t>Белта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</w:t>
      </w:r>
      <w:r w:rsidRPr="00EE3F0A">
        <w:rPr>
          <w:rFonts w:ascii="Times New Roman" w:hAnsi="Times New Roman"/>
          <w:sz w:val="24"/>
          <w:szCs w:val="24"/>
          <w:lang w:eastAsia="ru-RU"/>
        </w:rPr>
        <w:t xml:space="preserve"> 2009</w:t>
      </w:r>
      <w:r>
        <w:rPr>
          <w:rFonts w:ascii="Times New Roman" w:hAnsi="Times New Roman"/>
          <w:sz w:val="24"/>
          <w:szCs w:val="24"/>
          <w:lang w:eastAsia="ru-RU"/>
        </w:rPr>
        <w:t xml:space="preserve"> (3)</w:t>
      </w:r>
    </w:p>
    <w:p w:rsidR="00F940F0" w:rsidRPr="00000446" w:rsidRDefault="00F940F0" w:rsidP="00F940F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4094D">
        <w:rPr>
          <w:rFonts w:ascii="Times New Roman" w:hAnsi="Times New Roman"/>
          <w:sz w:val="24"/>
          <w:szCs w:val="24"/>
          <w:lang w:val="en-US" w:eastAsia="ru-RU"/>
        </w:rPr>
        <w:t xml:space="preserve">Convention for the Protection of the Architectural Heritage of Europe.- </w:t>
      </w:r>
      <w:proofErr w:type="spellStart"/>
      <w:r w:rsidRPr="00A33F3B">
        <w:rPr>
          <w:rFonts w:ascii="Times New Roman" w:hAnsi="Times New Roman"/>
          <w:sz w:val="24"/>
          <w:szCs w:val="24"/>
          <w:lang w:eastAsia="ru-RU"/>
        </w:rPr>
        <w:t>Granada</w:t>
      </w:r>
      <w:proofErr w:type="spellEnd"/>
      <w:r w:rsidRPr="00A33F3B">
        <w:rPr>
          <w:rFonts w:ascii="Times New Roman" w:hAnsi="Times New Roman"/>
          <w:sz w:val="24"/>
          <w:szCs w:val="24"/>
          <w:lang w:eastAsia="ru-RU"/>
        </w:rPr>
        <w:t xml:space="preserve">, 3.X.1985.- </w:t>
      </w:r>
      <w:proofErr w:type="spellStart"/>
      <w:r w:rsidRPr="00A33F3B">
        <w:rPr>
          <w:rFonts w:ascii="Times New Roman" w:hAnsi="Times New Roman"/>
          <w:sz w:val="24"/>
          <w:szCs w:val="24"/>
          <w:lang w:eastAsia="ru-RU"/>
        </w:rPr>
        <w:t>European</w:t>
      </w:r>
      <w:proofErr w:type="spellEnd"/>
      <w:r w:rsidRPr="00A33F3B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33F3B">
        <w:rPr>
          <w:rFonts w:ascii="Times New Roman" w:hAnsi="Times New Roman"/>
          <w:sz w:val="24"/>
          <w:szCs w:val="24"/>
          <w:lang w:eastAsia="ru-RU"/>
        </w:rPr>
        <w:t>Treaty</w:t>
      </w:r>
      <w:proofErr w:type="spellEnd"/>
      <w:r w:rsidRPr="00A33F3B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33F3B">
        <w:rPr>
          <w:rFonts w:ascii="Times New Roman" w:hAnsi="Times New Roman"/>
          <w:sz w:val="24"/>
          <w:szCs w:val="24"/>
          <w:lang w:eastAsia="ru-RU"/>
        </w:rPr>
        <w:t>Series</w:t>
      </w:r>
      <w:proofErr w:type="spellEnd"/>
      <w:r w:rsidRPr="00A33F3B">
        <w:rPr>
          <w:rFonts w:ascii="Times New Roman" w:hAnsi="Times New Roman"/>
          <w:sz w:val="24"/>
          <w:szCs w:val="24"/>
          <w:lang w:eastAsia="ru-RU"/>
        </w:rPr>
        <w:t xml:space="preserve"> - </w:t>
      </w:r>
      <w:proofErr w:type="spellStart"/>
      <w:r w:rsidRPr="00A33F3B">
        <w:rPr>
          <w:rFonts w:ascii="Times New Roman" w:hAnsi="Times New Roman"/>
          <w:sz w:val="24"/>
          <w:szCs w:val="24"/>
          <w:lang w:eastAsia="ru-RU"/>
        </w:rPr>
        <w:t>No</w:t>
      </w:r>
      <w:proofErr w:type="spellEnd"/>
      <w:r w:rsidRPr="00A33F3B">
        <w:rPr>
          <w:rFonts w:ascii="Times New Roman" w:hAnsi="Times New Roman"/>
          <w:sz w:val="24"/>
          <w:szCs w:val="24"/>
          <w:lang w:eastAsia="ru-RU"/>
        </w:rPr>
        <w:t>. 121</w:t>
      </w:r>
    </w:p>
    <w:p w:rsidR="00F940F0" w:rsidRDefault="00F940F0" w:rsidP="00F940F0">
      <w:pPr>
        <w:spacing w:before="120"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Дополнительная</w:t>
      </w:r>
    </w:p>
    <w:p w:rsidR="00F940F0" w:rsidRPr="00BD7839" w:rsidRDefault="00F940F0" w:rsidP="00F940F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val="en-GB" w:eastAsia="ru-RU"/>
        </w:rPr>
      </w:pPr>
      <w:proofErr w:type="spellStart"/>
      <w:r w:rsidRPr="00BD7839">
        <w:rPr>
          <w:rFonts w:ascii="Times New Roman" w:hAnsi="Times New Roman"/>
          <w:sz w:val="24"/>
          <w:szCs w:val="24"/>
          <w:lang w:val="en-GB" w:eastAsia="ru-RU"/>
        </w:rPr>
        <w:t>Cegielski</w:t>
      </w:r>
      <w:proofErr w:type="spellEnd"/>
      <w:r w:rsidRPr="00BD7839">
        <w:rPr>
          <w:rFonts w:ascii="Times New Roman" w:hAnsi="Times New Roman"/>
          <w:sz w:val="24"/>
          <w:szCs w:val="24"/>
          <w:lang w:val="en-GB" w:eastAsia="ru-RU"/>
        </w:rPr>
        <w:t xml:space="preserve"> M., </w:t>
      </w:r>
      <w:proofErr w:type="spellStart"/>
      <w:r w:rsidRPr="00BD7839">
        <w:rPr>
          <w:rFonts w:ascii="Times New Roman" w:hAnsi="Times New Roman"/>
          <w:sz w:val="24"/>
          <w:szCs w:val="24"/>
          <w:lang w:val="en-GB" w:eastAsia="ru-RU"/>
        </w:rPr>
        <w:t>Janeczko</w:t>
      </w:r>
      <w:proofErr w:type="spellEnd"/>
      <w:r w:rsidRPr="00BD7839">
        <w:rPr>
          <w:rFonts w:ascii="Times New Roman" w:hAnsi="Times New Roman"/>
          <w:sz w:val="24"/>
          <w:szCs w:val="24"/>
          <w:lang w:val="en-GB" w:eastAsia="ru-RU"/>
        </w:rPr>
        <w:t xml:space="preserve"> B., Mules T.  and Wells J. Economic Value of Tourism to Places of Cultural Heritage Significance: A Case Study of Three Towns with Mining Heritage.- CRC for Sustainable Tourism: University of Canberra</w:t>
      </w:r>
    </w:p>
    <w:p w:rsidR="00F940F0" w:rsidRPr="00E37692" w:rsidRDefault="00F940F0" w:rsidP="00F940F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val="en-GB" w:eastAsia="ru-RU"/>
        </w:rPr>
      </w:pPr>
      <w:r w:rsidRPr="00E37692">
        <w:rPr>
          <w:rFonts w:ascii="Times New Roman" w:hAnsi="Times New Roman"/>
          <w:sz w:val="24"/>
          <w:szCs w:val="24"/>
          <w:lang w:val="en-GB" w:eastAsia="ru-RU"/>
        </w:rPr>
        <w:t xml:space="preserve">Urban conservation glossary.- </w:t>
      </w:r>
      <w:proofErr w:type="spellStart"/>
      <w:r w:rsidRPr="00E37692">
        <w:rPr>
          <w:rFonts w:ascii="Times New Roman" w:hAnsi="Times New Roman"/>
          <w:sz w:val="24"/>
          <w:szCs w:val="24"/>
          <w:lang w:val="en-GB" w:eastAsia="ru-RU"/>
        </w:rPr>
        <w:t>Интернет</w:t>
      </w:r>
      <w:proofErr w:type="spellEnd"/>
      <w:r w:rsidRPr="00E37692">
        <w:rPr>
          <w:rFonts w:ascii="Times New Roman" w:hAnsi="Times New Roman"/>
          <w:sz w:val="24"/>
          <w:szCs w:val="24"/>
          <w:lang w:val="en-GB" w:eastAsia="ru-RU"/>
        </w:rPr>
        <w:t xml:space="preserve"> </w:t>
      </w:r>
      <w:proofErr w:type="spellStart"/>
      <w:r w:rsidRPr="00E37692">
        <w:rPr>
          <w:rFonts w:ascii="Times New Roman" w:hAnsi="Times New Roman"/>
          <w:sz w:val="24"/>
          <w:szCs w:val="24"/>
          <w:lang w:val="en-GB" w:eastAsia="ru-RU"/>
        </w:rPr>
        <w:t>ресурс</w:t>
      </w:r>
      <w:proofErr w:type="spellEnd"/>
      <w:r w:rsidRPr="00E37692">
        <w:rPr>
          <w:rFonts w:ascii="Times New Roman" w:hAnsi="Times New Roman"/>
          <w:sz w:val="24"/>
          <w:szCs w:val="24"/>
          <w:lang w:val="en-GB" w:eastAsia="ru-RU"/>
        </w:rPr>
        <w:t xml:space="preserve">: </w:t>
      </w:r>
      <w:hyperlink r:id="rId8" w:history="1">
        <w:r w:rsidRPr="00E37692">
          <w:rPr>
            <w:rFonts w:ascii="Times New Roman" w:hAnsi="Times New Roman"/>
            <w:sz w:val="24"/>
            <w:szCs w:val="24"/>
            <w:lang w:val="en-GB" w:eastAsia="ru-RU"/>
          </w:rPr>
          <w:t>http://www.gdrc.org/heritage/doc-repository.html</w:t>
        </w:r>
      </w:hyperlink>
    </w:p>
    <w:p w:rsidR="00CF504C" w:rsidRPr="00F940F0" w:rsidRDefault="00CF504C">
      <w:pPr>
        <w:rPr>
          <w:lang w:val="en-GB"/>
        </w:rPr>
      </w:pPr>
    </w:p>
    <w:sectPr w:rsidR="00CF504C" w:rsidRPr="00F940F0" w:rsidSect="00CF5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E5AD2"/>
    <w:multiLevelType w:val="hybridMultilevel"/>
    <w:tmpl w:val="A1885D06"/>
    <w:lvl w:ilvl="0" w:tplc="19AC5462">
      <w:start w:val="1"/>
      <w:numFmt w:val="bullet"/>
      <w:pStyle w:val="PuntatoTA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067CC"/>
    <w:multiLevelType w:val="multilevel"/>
    <w:tmpl w:val="321CCB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851" w:hanging="851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851" w:hanging="851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851" w:hanging="851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851" w:hanging="851"/>
      </w:pPr>
    </w:lvl>
  </w:abstractNum>
  <w:abstractNum w:abstractNumId="2">
    <w:nsid w:val="4B6A55DA"/>
    <w:multiLevelType w:val="multilevel"/>
    <w:tmpl w:val="EE84E7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550F6ABB"/>
    <w:multiLevelType w:val="multilevel"/>
    <w:tmpl w:val="EE84E7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5E970769"/>
    <w:multiLevelType w:val="hybridMultilevel"/>
    <w:tmpl w:val="934C3C80"/>
    <w:lvl w:ilvl="0" w:tplc="613EF55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141"/>
  <w:characterSpacingControl w:val="doNotCompress"/>
  <w:compat/>
  <w:rsids>
    <w:rsidRoot w:val="00F940F0"/>
    <w:rsid w:val="000836EC"/>
    <w:rsid w:val="0024429A"/>
    <w:rsid w:val="0028035F"/>
    <w:rsid w:val="00611B56"/>
    <w:rsid w:val="00651DE2"/>
    <w:rsid w:val="008A1067"/>
    <w:rsid w:val="00CF504C"/>
    <w:rsid w:val="00DF2FCE"/>
    <w:rsid w:val="00F44B06"/>
    <w:rsid w:val="00F940F0"/>
    <w:rsid w:val="00FA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0F0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10">
    <w:name w:val="heading 1"/>
    <w:basedOn w:val="a"/>
    <w:next w:val="a"/>
    <w:link w:val="11"/>
    <w:uiPriority w:val="9"/>
    <w:qFormat/>
    <w:rsid w:val="00FA2C13"/>
    <w:pPr>
      <w:keepNext/>
      <w:outlineLvl w:val="0"/>
    </w:pPr>
    <w:rPr>
      <w:b/>
      <w:bCs/>
      <w:color w:val="008CCC"/>
      <w:sz w:val="32"/>
      <w:u w:val="single"/>
      <w:lang w:val="en-US"/>
    </w:rPr>
  </w:style>
  <w:style w:type="paragraph" w:styleId="2">
    <w:name w:val="heading 2"/>
    <w:basedOn w:val="a"/>
    <w:next w:val="a"/>
    <w:link w:val="20"/>
    <w:qFormat/>
    <w:rsid w:val="00FA2C13"/>
    <w:pPr>
      <w:keepNext/>
      <w:keepLines/>
      <w:numPr>
        <w:ilvl w:val="1"/>
        <w:numId w:val="3"/>
      </w:numPr>
      <w:spacing w:before="240" w:after="300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FA2C13"/>
    <w:pPr>
      <w:keepNext/>
      <w:keepLines/>
      <w:numPr>
        <w:ilvl w:val="2"/>
        <w:numId w:val="3"/>
      </w:numPr>
      <w:spacing w:before="240" w:after="300"/>
      <w:outlineLvl w:val="2"/>
    </w:pPr>
    <w:rPr>
      <w:b/>
      <w:bCs/>
      <w:color w:val="5F5F5F"/>
      <w:sz w:val="26"/>
      <w:szCs w:val="26"/>
    </w:rPr>
  </w:style>
  <w:style w:type="paragraph" w:styleId="4">
    <w:name w:val="heading 4"/>
    <w:basedOn w:val="a"/>
    <w:next w:val="a"/>
    <w:link w:val="40"/>
    <w:qFormat/>
    <w:rsid w:val="00FA2C13"/>
    <w:pPr>
      <w:keepNext/>
      <w:keepLines/>
      <w:numPr>
        <w:ilvl w:val="3"/>
        <w:numId w:val="3"/>
      </w:numPr>
      <w:spacing w:before="240" w:after="300"/>
      <w:outlineLvl w:val="3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FA2C1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FA2C1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semiHidden/>
    <w:unhideWhenUsed/>
    <w:qFormat/>
    <w:rsid w:val="00FA2C13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qFormat/>
    <w:rsid w:val="00FA2C13"/>
    <w:pPr>
      <w:keepNext/>
      <w:keepLines/>
      <w:spacing w:before="240" w:after="300"/>
      <w:jc w:val="center"/>
      <w:outlineLvl w:val="7"/>
    </w:pPr>
    <w:rPr>
      <w:b/>
      <w:bCs/>
      <w:sz w:val="32"/>
      <w:szCs w:val="28"/>
    </w:rPr>
  </w:style>
  <w:style w:type="paragraph" w:styleId="9">
    <w:name w:val="heading 9"/>
    <w:basedOn w:val="a"/>
    <w:next w:val="a"/>
    <w:link w:val="90"/>
    <w:qFormat/>
    <w:rsid w:val="00FA2C13"/>
    <w:pPr>
      <w:keepNext/>
      <w:keepLines/>
      <w:spacing w:before="2400" w:after="300"/>
      <w:jc w:val="center"/>
      <w:outlineLvl w:val="8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A2C13"/>
    <w:rPr>
      <w:rFonts w:ascii="Century Gothic" w:hAnsi="Century Gothic"/>
      <w:b/>
      <w:bCs/>
      <w:color w:val="008CCC"/>
      <w:sz w:val="32"/>
      <w:szCs w:val="24"/>
      <w:u w:val="single"/>
      <w:lang w:val="en-US" w:eastAsia="en-US"/>
    </w:rPr>
  </w:style>
  <w:style w:type="character" w:customStyle="1" w:styleId="20">
    <w:name w:val="Заголовок 2 Знак"/>
    <w:basedOn w:val="a0"/>
    <w:link w:val="2"/>
    <w:rsid w:val="00FA2C13"/>
    <w:rPr>
      <w:rFonts w:ascii="Century Gothic" w:hAnsi="Century Gothic"/>
      <w:b/>
      <w:bCs/>
      <w:sz w:val="28"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FA2C13"/>
    <w:rPr>
      <w:rFonts w:ascii="Century Gothic" w:hAnsi="Century Gothic"/>
      <w:b/>
      <w:bCs/>
      <w:color w:val="5F5F5F"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FA2C13"/>
    <w:rPr>
      <w:rFonts w:ascii="Century Gothic" w:hAnsi="Century Gothic"/>
      <w:b/>
      <w:bCs/>
      <w:szCs w:val="24"/>
      <w:lang w:val="en-GB" w:eastAsia="en-US"/>
    </w:rPr>
  </w:style>
  <w:style w:type="character" w:customStyle="1" w:styleId="50">
    <w:name w:val="Заголовок 5 Знак"/>
    <w:basedOn w:val="a0"/>
    <w:link w:val="5"/>
    <w:semiHidden/>
    <w:rsid w:val="00FA2C13"/>
    <w:rPr>
      <w:rFonts w:ascii="Cambria" w:eastAsia="Times New Roman" w:hAnsi="Cambria" w:cs="Times New Roman"/>
      <w:color w:val="243F60"/>
      <w:szCs w:val="24"/>
      <w:lang w:val="en-GB" w:eastAsia="en-US"/>
    </w:rPr>
  </w:style>
  <w:style w:type="character" w:customStyle="1" w:styleId="60">
    <w:name w:val="Заголовок 6 Знак"/>
    <w:basedOn w:val="a0"/>
    <w:link w:val="6"/>
    <w:semiHidden/>
    <w:rsid w:val="00FA2C13"/>
    <w:rPr>
      <w:rFonts w:ascii="Cambria" w:eastAsia="Times New Roman" w:hAnsi="Cambria" w:cs="Times New Roman"/>
      <w:i/>
      <w:iCs/>
      <w:color w:val="243F60"/>
      <w:szCs w:val="24"/>
      <w:lang w:val="en-GB" w:eastAsia="en-US"/>
    </w:rPr>
  </w:style>
  <w:style w:type="character" w:customStyle="1" w:styleId="70">
    <w:name w:val="Заголовок 7 Знак"/>
    <w:basedOn w:val="a0"/>
    <w:link w:val="7"/>
    <w:semiHidden/>
    <w:rsid w:val="00FA2C13"/>
    <w:rPr>
      <w:rFonts w:ascii="Cambria" w:eastAsia="Times New Roman" w:hAnsi="Cambria" w:cs="Times New Roman"/>
      <w:i/>
      <w:iCs/>
      <w:color w:val="404040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FA2C13"/>
    <w:rPr>
      <w:rFonts w:ascii="Century Gothic" w:hAnsi="Century Gothic"/>
      <w:b/>
      <w:bCs/>
      <w:sz w:val="32"/>
      <w:szCs w:val="28"/>
      <w:lang w:val="en-GB" w:eastAsia="en-US"/>
    </w:rPr>
  </w:style>
  <w:style w:type="character" w:customStyle="1" w:styleId="90">
    <w:name w:val="Заголовок 9 Знак"/>
    <w:basedOn w:val="a0"/>
    <w:link w:val="9"/>
    <w:rsid w:val="00FA2C13"/>
    <w:rPr>
      <w:rFonts w:ascii="Century Gothic" w:hAnsi="Century Gothic"/>
      <w:b/>
      <w:bCs/>
      <w:sz w:val="28"/>
      <w:szCs w:val="32"/>
      <w:lang w:val="en-GB" w:eastAsia="en-US"/>
    </w:rPr>
  </w:style>
  <w:style w:type="paragraph" w:styleId="a3">
    <w:name w:val="header"/>
    <w:basedOn w:val="a"/>
    <w:link w:val="a4"/>
    <w:uiPriority w:val="99"/>
    <w:qFormat/>
    <w:rsid w:val="00FA2C13"/>
    <w:pPr>
      <w:tabs>
        <w:tab w:val="center" w:pos="4536"/>
      </w:tabs>
    </w:pPr>
    <w:rPr>
      <w:i/>
      <w:sz w:val="16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FA2C13"/>
    <w:rPr>
      <w:rFonts w:ascii="Century Gothic" w:hAnsi="Century Gothic"/>
      <w:i/>
      <w:sz w:val="16"/>
      <w:szCs w:val="24"/>
      <w:lang w:val="en-US" w:eastAsia="en-US"/>
    </w:rPr>
  </w:style>
  <w:style w:type="paragraph" w:styleId="a5">
    <w:name w:val="footer"/>
    <w:basedOn w:val="a"/>
    <w:link w:val="a6"/>
    <w:uiPriority w:val="99"/>
    <w:qFormat/>
    <w:rsid w:val="00FA2C13"/>
    <w:pPr>
      <w:tabs>
        <w:tab w:val="center" w:pos="4153"/>
        <w:tab w:val="right" w:pos="8306"/>
      </w:tabs>
    </w:pPr>
    <w:rPr>
      <w:i/>
      <w:sz w:val="16"/>
      <w:lang w:val="be-BY" w:eastAsia="be-BY"/>
    </w:rPr>
  </w:style>
  <w:style w:type="character" w:customStyle="1" w:styleId="a6">
    <w:name w:val="Нижний колонтитул Знак"/>
    <w:basedOn w:val="a0"/>
    <w:link w:val="a5"/>
    <w:uiPriority w:val="99"/>
    <w:rsid w:val="00FA2C13"/>
    <w:rPr>
      <w:rFonts w:ascii="Century Gothic" w:hAnsi="Century Gothic"/>
      <w:i/>
      <w:sz w:val="16"/>
      <w:szCs w:val="24"/>
    </w:rPr>
  </w:style>
  <w:style w:type="paragraph" w:styleId="a7">
    <w:name w:val="caption"/>
    <w:basedOn w:val="a"/>
    <w:next w:val="a"/>
    <w:qFormat/>
    <w:rsid w:val="00FA2C13"/>
    <w:pPr>
      <w:tabs>
        <w:tab w:val="left" w:pos="7020"/>
        <w:tab w:val="left" w:pos="7200"/>
      </w:tabs>
    </w:pPr>
    <w:rPr>
      <w:i/>
      <w:iCs/>
      <w:lang w:val="en-US"/>
    </w:rPr>
  </w:style>
  <w:style w:type="paragraph" w:styleId="a8">
    <w:name w:val="Title"/>
    <w:basedOn w:val="a"/>
    <w:link w:val="a9"/>
    <w:qFormat/>
    <w:rsid w:val="00FA2C13"/>
    <w:pPr>
      <w:jc w:val="center"/>
    </w:pPr>
    <w:rPr>
      <w:b/>
      <w:bCs/>
      <w:sz w:val="32"/>
      <w:szCs w:val="32"/>
      <w:lang w:eastAsia="be-BY"/>
    </w:rPr>
  </w:style>
  <w:style w:type="character" w:customStyle="1" w:styleId="a9">
    <w:name w:val="Название Знак"/>
    <w:basedOn w:val="a0"/>
    <w:link w:val="a8"/>
    <w:rsid w:val="00FA2C13"/>
    <w:rPr>
      <w:rFonts w:ascii="Century Gothic" w:hAnsi="Century Gothic"/>
      <w:b/>
      <w:bCs/>
      <w:sz w:val="32"/>
      <w:szCs w:val="32"/>
      <w:lang w:val="en-GB"/>
    </w:rPr>
  </w:style>
  <w:style w:type="character" w:styleId="aa">
    <w:name w:val="Emphasis"/>
    <w:basedOn w:val="a0"/>
    <w:uiPriority w:val="20"/>
    <w:qFormat/>
    <w:rsid w:val="00FA2C13"/>
    <w:rPr>
      <w:i/>
      <w:iCs/>
    </w:rPr>
  </w:style>
  <w:style w:type="paragraph" w:styleId="ab">
    <w:name w:val="No Spacing"/>
    <w:link w:val="ac"/>
    <w:uiPriority w:val="1"/>
    <w:qFormat/>
    <w:rsid w:val="00FA2C13"/>
    <w:rPr>
      <w:rFonts w:ascii="Calibri" w:hAnsi="Calibri"/>
      <w:sz w:val="22"/>
      <w:szCs w:val="22"/>
      <w:lang w:val="fr-FR" w:eastAsia="en-US"/>
    </w:rPr>
  </w:style>
  <w:style w:type="character" w:customStyle="1" w:styleId="ac">
    <w:name w:val="Без интервала Знак"/>
    <w:basedOn w:val="a0"/>
    <w:link w:val="ab"/>
    <w:uiPriority w:val="1"/>
    <w:rsid w:val="00FA2C13"/>
    <w:rPr>
      <w:rFonts w:ascii="Calibri" w:hAnsi="Calibri"/>
      <w:sz w:val="22"/>
      <w:szCs w:val="22"/>
      <w:lang w:val="fr-FR" w:eastAsia="en-US"/>
    </w:rPr>
  </w:style>
  <w:style w:type="paragraph" w:styleId="ad">
    <w:name w:val="List Paragraph"/>
    <w:basedOn w:val="a"/>
    <w:uiPriority w:val="34"/>
    <w:qFormat/>
    <w:rsid w:val="00FA2C13"/>
    <w:pPr>
      <w:ind w:left="720"/>
      <w:contextualSpacing/>
    </w:pPr>
    <w:rPr>
      <w:rFonts w:ascii="Times New Roman" w:hAnsi="Times New Roman"/>
      <w:sz w:val="24"/>
      <w:lang w:eastAsia="en-GB"/>
    </w:rPr>
  </w:style>
  <w:style w:type="character" w:styleId="ae">
    <w:name w:val="Subtle Emphasis"/>
    <w:basedOn w:val="a0"/>
    <w:uiPriority w:val="19"/>
    <w:qFormat/>
    <w:rsid w:val="00FA2C13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af">
    <w:name w:val="TOC Heading"/>
    <w:basedOn w:val="10"/>
    <w:next w:val="a"/>
    <w:uiPriority w:val="39"/>
    <w:semiHidden/>
    <w:unhideWhenUsed/>
    <w:qFormat/>
    <w:rsid w:val="00FA2C13"/>
    <w:pPr>
      <w:keepLines/>
      <w:spacing w:before="480"/>
      <w:outlineLvl w:val="9"/>
    </w:pPr>
    <w:rPr>
      <w:rFonts w:ascii="Cambria" w:hAnsi="Cambria"/>
      <w:color w:val="365F91"/>
      <w:sz w:val="28"/>
      <w:szCs w:val="28"/>
      <w:u w:val="none"/>
      <w:lang w:val="it-IT"/>
    </w:rPr>
  </w:style>
  <w:style w:type="paragraph" w:customStyle="1" w:styleId="HeadingAnnexes">
    <w:name w:val="Heading Annexes"/>
    <w:basedOn w:val="10"/>
    <w:next w:val="a"/>
    <w:qFormat/>
    <w:rsid w:val="00FA2C13"/>
    <w:pPr>
      <w:spacing w:before="2400"/>
      <w:jc w:val="center"/>
    </w:pPr>
    <w:rPr>
      <w:sz w:val="36"/>
      <w:szCs w:val="20"/>
    </w:rPr>
  </w:style>
  <w:style w:type="paragraph" w:customStyle="1" w:styleId="PuntatoTAC">
    <w:name w:val="Puntato TAC"/>
    <w:basedOn w:val="ad"/>
    <w:qFormat/>
    <w:rsid w:val="00FA2C13"/>
    <w:pPr>
      <w:numPr>
        <w:numId w:val="4"/>
      </w:numPr>
    </w:pPr>
    <w:rPr>
      <w:rFonts w:ascii="Century Gothic" w:hAnsi="Century Gothic"/>
      <w:sz w:val="20"/>
      <w:szCs w:val="20"/>
    </w:rPr>
  </w:style>
  <w:style w:type="paragraph" w:customStyle="1" w:styleId="Normalegrasso">
    <w:name w:val="Normale grasso"/>
    <w:basedOn w:val="a"/>
    <w:qFormat/>
    <w:rsid w:val="00FA2C13"/>
    <w:rPr>
      <w:b/>
    </w:rPr>
  </w:style>
  <w:style w:type="paragraph" w:customStyle="1" w:styleId="DecimalAligned">
    <w:name w:val="Decimal Aligned"/>
    <w:basedOn w:val="a"/>
    <w:uiPriority w:val="40"/>
    <w:qFormat/>
    <w:rsid w:val="00FA2C13"/>
    <w:pPr>
      <w:tabs>
        <w:tab w:val="decimal" w:pos="360"/>
      </w:tabs>
    </w:pPr>
    <w:rPr>
      <w:lang w:val="en-US"/>
    </w:rPr>
  </w:style>
  <w:style w:type="paragraph" w:customStyle="1" w:styleId="1">
    <w:name w:val="Стиль1"/>
    <w:basedOn w:val="10"/>
    <w:link w:val="12"/>
    <w:qFormat/>
    <w:rsid w:val="00FA2C13"/>
    <w:pPr>
      <w:numPr>
        <w:numId w:val="5"/>
      </w:numPr>
      <w:spacing w:before="240" w:after="240"/>
    </w:pPr>
    <w:rPr>
      <w:sz w:val="20"/>
      <w:szCs w:val="20"/>
      <w:lang w:val="en-GB"/>
    </w:rPr>
  </w:style>
  <w:style w:type="character" w:customStyle="1" w:styleId="12">
    <w:name w:val="Стиль1 Знак"/>
    <w:basedOn w:val="11"/>
    <w:link w:val="1"/>
    <w:rsid w:val="00FA2C13"/>
    <w:rPr>
      <w:b/>
      <w:bCs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rc.org/heritage/doc-repository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vo.by/main.aspx?guid=3871&amp;p0=v19403335&amp;p2=%7bNRPA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avo.by/main.aspx?guid=3871&amp;p0=h10400300&amp;p2=%7bNRPA%7d" TargetMode="External"/><Relationship Id="rId5" Type="http://schemas.openxmlformats.org/officeDocument/2006/relationships/hyperlink" Target="http://kultura.gov.by/page/akhova-prats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1192</Characters>
  <Application>Microsoft Office Word</Application>
  <DocSecurity>0</DocSecurity>
  <Lines>9</Lines>
  <Paragraphs>2</Paragraphs>
  <ScaleCrop>false</ScaleCrop>
  <Company>home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 Баранец</dc:creator>
  <cp:lastModifiedBy>Георгий Баранец</cp:lastModifiedBy>
  <cp:revision>1</cp:revision>
  <dcterms:created xsi:type="dcterms:W3CDTF">2012-07-19T12:33:00Z</dcterms:created>
  <dcterms:modified xsi:type="dcterms:W3CDTF">2012-07-19T12:34:00Z</dcterms:modified>
</cp:coreProperties>
</file>