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D6F" w:rsidRDefault="00B86D6F" w:rsidP="00B86D6F">
      <w:pPr>
        <w:tabs>
          <w:tab w:val="left" w:pos="2250"/>
          <w:tab w:val="right" w:pos="8373"/>
        </w:tabs>
        <w:ind w:right="543"/>
        <w:jc w:val="both"/>
        <w:rPr>
          <w:rFonts w:ascii="Verdana" w:hAnsi="Verdana"/>
          <w:b/>
          <w:sz w:val="40"/>
          <w:szCs w:val="40"/>
        </w:rPr>
      </w:pPr>
      <w:r w:rsidRPr="003826D1">
        <w:rPr>
          <w:rFonts w:ascii="Verdana" w:hAnsi="Verdana"/>
          <w:b/>
          <w:sz w:val="40"/>
          <w:szCs w:val="40"/>
          <w:u w:val="single"/>
        </w:rPr>
        <w:t>UNIT 1</w:t>
      </w:r>
      <w:r>
        <w:rPr>
          <w:rFonts w:ascii="Verdana" w:hAnsi="Verdana"/>
          <w:b/>
          <w:sz w:val="40"/>
          <w:szCs w:val="40"/>
          <w:u w:val="single"/>
        </w:rPr>
        <w:t xml:space="preserve"> Outline:</w:t>
      </w:r>
      <w:r w:rsidRPr="00352DE8">
        <w:rPr>
          <w:rFonts w:ascii="Verdana" w:hAnsi="Verdana"/>
          <w:b/>
          <w:sz w:val="40"/>
          <w:szCs w:val="40"/>
        </w:rPr>
        <w:t xml:space="preserve"> </w:t>
      </w:r>
    </w:p>
    <w:p w:rsidR="00B86D6F" w:rsidRPr="00352DE8" w:rsidRDefault="00B86D6F" w:rsidP="00B86D6F">
      <w:pPr>
        <w:tabs>
          <w:tab w:val="left" w:pos="2250"/>
          <w:tab w:val="right" w:pos="8373"/>
        </w:tabs>
        <w:ind w:right="543"/>
        <w:jc w:val="both"/>
        <w:rPr>
          <w:rFonts w:ascii="Verdana" w:hAnsi="Verdana"/>
          <w:b/>
          <w:sz w:val="40"/>
          <w:szCs w:val="40"/>
        </w:rPr>
      </w:pPr>
      <w:r>
        <w:rPr>
          <w:rFonts w:ascii="Verdana" w:hAnsi="Verdana"/>
          <w:b/>
          <w:sz w:val="40"/>
          <w:szCs w:val="40"/>
        </w:rPr>
        <w:t>Introduction to WTO Law</w:t>
      </w:r>
    </w:p>
    <w:p w:rsidR="00B86D6F" w:rsidRDefault="00B86D6F" w:rsidP="00B86D6F">
      <w:pPr>
        <w:tabs>
          <w:tab w:val="left" w:pos="2250"/>
          <w:tab w:val="right" w:pos="8373"/>
        </w:tabs>
        <w:ind w:right="543"/>
        <w:jc w:val="both"/>
        <w:rPr>
          <w:rFonts w:ascii="Verdana" w:hAnsi="Verdana"/>
          <w:b/>
          <w:sz w:val="32"/>
          <w:szCs w:val="32"/>
        </w:rPr>
      </w:pPr>
    </w:p>
    <w:p w:rsidR="00B86D6F" w:rsidRPr="006D5431" w:rsidRDefault="00B86D6F" w:rsidP="00B86D6F">
      <w:pPr>
        <w:tabs>
          <w:tab w:val="left" w:pos="6285"/>
        </w:tabs>
        <w:jc w:val="both"/>
        <w:rPr>
          <w:rFonts w:ascii="Verdana" w:hAnsi="Verdana"/>
          <w:sz w:val="24"/>
        </w:rPr>
      </w:pPr>
      <w:r w:rsidRPr="006D5431">
        <w:rPr>
          <w:rFonts w:ascii="Verdana" w:hAnsi="Verdana"/>
          <w:sz w:val="24"/>
          <w:u w:val="single"/>
        </w:rPr>
        <w:t>What is international trade law?</w:t>
      </w:r>
    </w:p>
    <w:p w:rsidR="00B86D6F" w:rsidRPr="006D5431" w:rsidRDefault="00B86D6F" w:rsidP="00B86D6F">
      <w:pPr>
        <w:ind w:left="1440"/>
        <w:jc w:val="both"/>
        <w:rPr>
          <w:rFonts w:ascii="Verdana" w:hAnsi="Verdana"/>
          <w:sz w:val="24"/>
        </w:rPr>
      </w:pPr>
    </w:p>
    <w:p w:rsidR="00B86D6F" w:rsidRPr="006D5431" w:rsidRDefault="00B86D6F" w:rsidP="00B86D6F">
      <w:pPr>
        <w:numPr>
          <w:ilvl w:val="0"/>
          <w:numId w:val="2"/>
        </w:numPr>
        <w:overflowPunct w:val="0"/>
        <w:autoSpaceDE w:val="0"/>
        <w:autoSpaceDN w:val="0"/>
        <w:adjustRightInd w:val="0"/>
        <w:jc w:val="both"/>
        <w:textAlignment w:val="baseline"/>
        <w:rPr>
          <w:rFonts w:ascii="Verdana" w:hAnsi="Verdana"/>
          <w:sz w:val="24"/>
        </w:rPr>
      </w:pPr>
      <w:r w:rsidRPr="006D5431">
        <w:rPr>
          <w:rFonts w:ascii="Verdana" w:hAnsi="Verdana"/>
          <w:sz w:val="24"/>
        </w:rPr>
        <w:t xml:space="preserve">“The law relating to the exchange of goods and services between nations.  Legal issues can relate to tariffs and government restrictions on export and import, as well as the contracts between the trading partners” </w:t>
      </w:r>
    </w:p>
    <w:p w:rsidR="00B86D6F" w:rsidRPr="006D5431" w:rsidRDefault="00B86D6F" w:rsidP="00B86D6F">
      <w:pPr>
        <w:ind w:left="1440"/>
        <w:jc w:val="both"/>
        <w:rPr>
          <w:rFonts w:ascii="Verdana" w:hAnsi="Verdana"/>
          <w:sz w:val="24"/>
        </w:rPr>
      </w:pPr>
    </w:p>
    <w:p w:rsidR="00B86D6F" w:rsidRPr="006D5431" w:rsidRDefault="00B86D6F" w:rsidP="00B86D6F">
      <w:pPr>
        <w:numPr>
          <w:ilvl w:val="0"/>
          <w:numId w:val="2"/>
        </w:numPr>
        <w:overflowPunct w:val="0"/>
        <w:autoSpaceDE w:val="0"/>
        <w:autoSpaceDN w:val="0"/>
        <w:adjustRightInd w:val="0"/>
        <w:jc w:val="both"/>
        <w:textAlignment w:val="baseline"/>
        <w:rPr>
          <w:rFonts w:ascii="Verdana" w:hAnsi="Verdana"/>
          <w:sz w:val="24"/>
        </w:rPr>
      </w:pPr>
      <w:r w:rsidRPr="006D5431">
        <w:rPr>
          <w:rFonts w:ascii="Verdana" w:hAnsi="Verdana"/>
          <w:sz w:val="24"/>
        </w:rPr>
        <w:t xml:space="preserve">“International trade law is the mixture of domestic or national law and public international law that applies to transactions for goods or services that cross national boundaries. Certain multilateral treaties play an important roles in this field </w:t>
      </w:r>
      <w:r w:rsidRPr="006D5431">
        <w:rPr>
          <w:rFonts w:ascii="Verdana" w:hAnsi="Verdana"/>
          <w:sz w:val="24"/>
        </w:rPr>
        <w:noBreakHyphen/>
        <w:t xml:space="preserve"> notably the Convention for the International Sales of Goods and several dealing with dispute resolution and the enforcement of resulting adjudications”</w:t>
      </w:r>
    </w:p>
    <w:p w:rsidR="00B86D6F" w:rsidRDefault="00B86D6F" w:rsidP="00B86D6F">
      <w:pPr>
        <w:tabs>
          <w:tab w:val="right" w:pos="8373"/>
        </w:tabs>
        <w:jc w:val="both"/>
        <w:rPr>
          <w:rFonts w:ascii="Verdana" w:hAnsi="Verdana"/>
          <w:sz w:val="24"/>
        </w:rPr>
      </w:pPr>
    </w:p>
    <w:p w:rsidR="00B86D6F" w:rsidRPr="006D5431" w:rsidRDefault="00B86D6F" w:rsidP="00B86D6F">
      <w:pPr>
        <w:tabs>
          <w:tab w:val="right" w:pos="8373"/>
        </w:tabs>
        <w:jc w:val="both"/>
        <w:rPr>
          <w:rFonts w:ascii="Verdana" w:hAnsi="Verdana"/>
          <w:sz w:val="24"/>
        </w:rPr>
      </w:pPr>
      <w:r w:rsidRPr="006D5431">
        <w:rPr>
          <w:rFonts w:ascii="Verdana" w:hAnsi="Verdana"/>
          <w:sz w:val="24"/>
        </w:rPr>
        <w:t>Therefore there are two distinct aspects of international trade, these are</w:t>
      </w:r>
      <w:r w:rsidRPr="006D5431">
        <w:rPr>
          <w:rFonts w:ascii="Verdana" w:hAnsi="Verdana"/>
          <w:sz w:val="24"/>
        </w:rPr>
        <w:softHyphen/>
        <w:t>:</w:t>
      </w:r>
    </w:p>
    <w:p w:rsidR="00B86D6F" w:rsidRDefault="00B86D6F" w:rsidP="00B86D6F">
      <w:pPr>
        <w:tabs>
          <w:tab w:val="left" w:pos="780"/>
        </w:tabs>
        <w:jc w:val="both"/>
        <w:rPr>
          <w:rFonts w:ascii="Verdana" w:hAnsi="Verdana"/>
          <w:sz w:val="24"/>
        </w:rPr>
      </w:pPr>
    </w:p>
    <w:p w:rsidR="00B86D6F" w:rsidRPr="006D5431" w:rsidRDefault="00B86D6F" w:rsidP="00B86D6F">
      <w:pPr>
        <w:numPr>
          <w:ilvl w:val="0"/>
          <w:numId w:val="3"/>
        </w:numPr>
        <w:tabs>
          <w:tab w:val="left" w:pos="780"/>
        </w:tabs>
        <w:jc w:val="both"/>
        <w:rPr>
          <w:rFonts w:ascii="Verdana" w:hAnsi="Verdana"/>
          <w:sz w:val="24"/>
        </w:rPr>
      </w:pPr>
      <w:r w:rsidRPr="00F04221">
        <w:rPr>
          <w:rFonts w:ascii="Verdana" w:hAnsi="Verdana"/>
          <w:sz w:val="24"/>
          <w:u w:val="single"/>
        </w:rPr>
        <w:t>Macro Aspects</w:t>
      </w:r>
      <w:r w:rsidRPr="006D5431">
        <w:rPr>
          <w:rFonts w:ascii="Verdana" w:hAnsi="Verdana"/>
          <w:sz w:val="24"/>
        </w:rPr>
        <w:t xml:space="preserve"> </w:t>
      </w:r>
      <w:r w:rsidRPr="006D5431">
        <w:rPr>
          <w:rFonts w:ascii="Verdana" w:hAnsi="Verdana"/>
          <w:sz w:val="24"/>
        </w:rPr>
        <w:noBreakHyphen/>
        <w:t xml:space="preserve"> trade between nation states, or between the member states of one trading block and those of another. There is the overriding principle of Treaty law and obligations and disputes are between states not individuals. The context of world trade is at this macro level and disputes and dispute resolution is within this context.</w:t>
      </w:r>
    </w:p>
    <w:p w:rsidR="00B86D6F" w:rsidRDefault="00B86D6F" w:rsidP="00B86D6F">
      <w:pPr>
        <w:tabs>
          <w:tab w:val="left" w:pos="780"/>
        </w:tabs>
        <w:jc w:val="both"/>
        <w:rPr>
          <w:rFonts w:ascii="Verdana" w:hAnsi="Verdana"/>
          <w:sz w:val="24"/>
        </w:rPr>
      </w:pPr>
    </w:p>
    <w:p w:rsidR="00B86D6F" w:rsidRPr="006D5431" w:rsidRDefault="00B86D6F" w:rsidP="00B86D6F">
      <w:pPr>
        <w:numPr>
          <w:ilvl w:val="0"/>
          <w:numId w:val="3"/>
        </w:numPr>
        <w:tabs>
          <w:tab w:val="left" w:pos="780"/>
        </w:tabs>
        <w:jc w:val="both"/>
        <w:rPr>
          <w:rFonts w:ascii="Verdana" w:hAnsi="Verdana"/>
          <w:sz w:val="24"/>
        </w:rPr>
      </w:pPr>
      <w:r w:rsidRPr="00F04221">
        <w:rPr>
          <w:rFonts w:ascii="Verdana" w:hAnsi="Verdana"/>
          <w:sz w:val="24"/>
          <w:u w:val="single"/>
        </w:rPr>
        <w:t>Micro Aspects</w:t>
      </w:r>
      <w:r w:rsidRPr="006D5431">
        <w:rPr>
          <w:rFonts w:ascii="Verdana" w:hAnsi="Verdana"/>
          <w:sz w:val="24"/>
        </w:rPr>
        <w:t xml:space="preserve"> </w:t>
      </w:r>
      <w:r w:rsidRPr="006D5431">
        <w:rPr>
          <w:rFonts w:ascii="Verdana" w:hAnsi="Verdana"/>
          <w:sz w:val="24"/>
        </w:rPr>
        <w:noBreakHyphen/>
        <w:t xml:space="preserve"> trade between partners, normally "undertakings", that is </w:t>
      </w:r>
      <w:proofErr w:type="spellStart"/>
      <w:r w:rsidRPr="006D5431">
        <w:rPr>
          <w:rFonts w:ascii="Verdana" w:hAnsi="Verdana"/>
          <w:sz w:val="24"/>
        </w:rPr>
        <w:t>any thing</w:t>
      </w:r>
      <w:proofErr w:type="spellEnd"/>
      <w:r w:rsidRPr="006D5431">
        <w:rPr>
          <w:rFonts w:ascii="Verdana" w:hAnsi="Verdana"/>
          <w:sz w:val="24"/>
        </w:rPr>
        <w:t>/person that undertakes trade be it a trans</w:t>
      </w:r>
      <w:r w:rsidRPr="006D5431">
        <w:rPr>
          <w:rFonts w:ascii="Verdana" w:hAnsi="Verdana"/>
          <w:sz w:val="24"/>
        </w:rPr>
        <w:noBreakHyphen/>
        <w:t xml:space="preserve">national corporation or a sole trader. The underlying principles of this activity are based in contract </w:t>
      </w:r>
      <w:r w:rsidRPr="006D5431">
        <w:rPr>
          <w:rFonts w:ascii="Verdana" w:hAnsi="Verdana"/>
          <w:sz w:val="24"/>
        </w:rPr>
        <w:noBreakHyphen/>
        <w:t xml:space="preserve"> therefore, in the main, the law is within some jurisdiction</w:t>
      </w:r>
    </w:p>
    <w:p w:rsidR="00B86D6F" w:rsidRPr="006D5431" w:rsidRDefault="00B86D6F" w:rsidP="00B86D6F">
      <w:pPr>
        <w:tabs>
          <w:tab w:val="num" w:pos="0"/>
        </w:tabs>
        <w:ind w:left="1440"/>
        <w:jc w:val="both"/>
        <w:rPr>
          <w:rFonts w:ascii="Verdana" w:hAnsi="Verdana"/>
          <w:sz w:val="24"/>
        </w:rPr>
      </w:pPr>
    </w:p>
    <w:p w:rsidR="00B86D6F" w:rsidRPr="006D5431" w:rsidRDefault="00B86D6F" w:rsidP="00B86D6F">
      <w:pPr>
        <w:jc w:val="both"/>
        <w:rPr>
          <w:rFonts w:ascii="Verdana" w:hAnsi="Verdana"/>
          <w:sz w:val="24"/>
        </w:rPr>
      </w:pPr>
      <w:r w:rsidRPr="006D5431">
        <w:rPr>
          <w:rFonts w:ascii="Verdana" w:hAnsi="Verdana"/>
          <w:sz w:val="24"/>
        </w:rPr>
        <w:t>Another way of looking at the way in which it is possible to classify aspects of international trade law is:</w:t>
      </w:r>
    </w:p>
    <w:p w:rsidR="00B86D6F" w:rsidRDefault="00B86D6F" w:rsidP="00B86D6F">
      <w:pPr>
        <w:tabs>
          <w:tab w:val="left" w:pos="4875"/>
          <w:tab w:val="right" w:pos="8373"/>
        </w:tabs>
        <w:jc w:val="both"/>
        <w:rPr>
          <w:rFonts w:ascii="Verdana" w:hAnsi="Verdana"/>
          <w:sz w:val="24"/>
        </w:rPr>
      </w:pPr>
    </w:p>
    <w:p w:rsidR="00B86D6F" w:rsidRPr="006D5431" w:rsidRDefault="00B86D6F" w:rsidP="00B86D6F">
      <w:pPr>
        <w:numPr>
          <w:ilvl w:val="0"/>
          <w:numId w:val="4"/>
        </w:numPr>
        <w:tabs>
          <w:tab w:val="left" w:pos="4875"/>
          <w:tab w:val="right" w:pos="8373"/>
        </w:tabs>
        <w:jc w:val="both"/>
        <w:rPr>
          <w:rFonts w:ascii="Verdana" w:hAnsi="Verdana"/>
          <w:sz w:val="24"/>
          <w:u w:val="single"/>
        </w:rPr>
      </w:pPr>
      <w:r w:rsidRPr="006D5431">
        <w:rPr>
          <w:rFonts w:ascii="Verdana" w:hAnsi="Verdana"/>
          <w:sz w:val="24"/>
          <w:u w:val="single"/>
        </w:rPr>
        <w:t xml:space="preserve">Private Law </w:t>
      </w:r>
    </w:p>
    <w:p w:rsidR="00B86D6F" w:rsidRPr="006D5431" w:rsidRDefault="00B86D6F" w:rsidP="00B86D6F">
      <w:pPr>
        <w:tabs>
          <w:tab w:val="left" w:pos="4875"/>
          <w:tab w:val="right" w:pos="8373"/>
        </w:tabs>
        <w:ind w:left="720"/>
        <w:jc w:val="both"/>
        <w:rPr>
          <w:rFonts w:ascii="Verdana" w:hAnsi="Verdana"/>
          <w:sz w:val="24"/>
        </w:rPr>
      </w:pPr>
      <w:r w:rsidRPr="006D5431">
        <w:rPr>
          <w:rFonts w:ascii="Verdana" w:hAnsi="Verdana"/>
          <w:sz w:val="24"/>
        </w:rPr>
        <w:t>This includes, for example, the laws of -</w:t>
      </w:r>
      <w:r w:rsidRPr="006D5431">
        <w:rPr>
          <w:rFonts w:ascii="Verdana" w:hAnsi="Verdana"/>
          <w:sz w:val="24"/>
        </w:rPr>
        <w:tab/>
      </w:r>
    </w:p>
    <w:p w:rsidR="00B86D6F" w:rsidRPr="006D5431" w:rsidRDefault="00B86D6F" w:rsidP="00B86D6F">
      <w:pPr>
        <w:numPr>
          <w:ilvl w:val="0"/>
          <w:numId w:val="1"/>
        </w:numPr>
        <w:tabs>
          <w:tab w:val="clear" w:pos="1440"/>
          <w:tab w:val="num" w:pos="2880"/>
          <w:tab w:val="left" w:pos="4875"/>
          <w:tab w:val="right" w:pos="8373"/>
        </w:tabs>
        <w:ind w:left="2880"/>
        <w:jc w:val="both"/>
        <w:rPr>
          <w:rFonts w:ascii="Verdana" w:hAnsi="Verdana"/>
          <w:sz w:val="24"/>
        </w:rPr>
      </w:pPr>
      <w:r w:rsidRPr="006D5431">
        <w:rPr>
          <w:rFonts w:ascii="Verdana" w:hAnsi="Verdana"/>
          <w:sz w:val="24"/>
        </w:rPr>
        <w:t>Agency</w:t>
      </w:r>
    </w:p>
    <w:p w:rsidR="00B86D6F" w:rsidRPr="006D5431" w:rsidRDefault="00B86D6F" w:rsidP="00B86D6F">
      <w:pPr>
        <w:numPr>
          <w:ilvl w:val="0"/>
          <w:numId w:val="1"/>
        </w:numPr>
        <w:tabs>
          <w:tab w:val="clear" w:pos="1440"/>
          <w:tab w:val="num" w:pos="2880"/>
          <w:tab w:val="left" w:pos="4875"/>
          <w:tab w:val="right" w:pos="8373"/>
        </w:tabs>
        <w:ind w:left="2880"/>
        <w:jc w:val="both"/>
        <w:rPr>
          <w:rFonts w:ascii="Verdana" w:hAnsi="Verdana"/>
          <w:sz w:val="24"/>
        </w:rPr>
      </w:pPr>
      <w:r w:rsidRPr="006D5431">
        <w:rPr>
          <w:rFonts w:ascii="Verdana" w:hAnsi="Verdana"/>
          <w:sz w:val="24"/>
        </w:rPr>
        <w:t>Carriage of Goods</w:t>
      </w:r>
    </w:p>
    <w:p w:rsidR="00B86D6F" w:rsidRPr="006D5431" w:rsidRDefault="00B86D6F" w:rsidP="00B86D6F">
      <w:pPr>
        <w:numPr>
          <w:ilvl w:val="0"/>
          <w:numId w:val="1"/>
        </w:numPr>
        <w:tabs>
          <w:tab w:val="clear" w:pos="1440"/>
          <w:tab w:val="num" w:pos="2880"/>
          <w:tab w:val="left" w:pos="4875"/>
          <w:tab w:val="right" w:pos="8373"/>
        </w:tabs>
        <w:ind w:left="2880"/>
        <w:jc w:val="both"/>
        <w:rPr>
          <w:rFonts w:ascii="Verdana" w:hAnsi="Verdana"/>
          <w:sz w:val="24"/>
        </w:rPr>
      </w:pPr>
      <w:r w:rsidRPr="006D5431">
        <w:rPr>
          <w:rFonts w:ascii="Verdana" w:hAnsi="Verdana"/>
          <w:sz w:val="24"/>
        </w:rPr>
        <w:t>Contract Principles</w:t>
      </w:r>
    </w:p>
    <w:p w:rsidR="00B86D6F" w:rsidRPr="006D5431" w:rsidRDefault="00B86D6F" w:rsidP="00B86D6F">
      <w:pPr>
        <w:numPr>
          <w:ilvl w:val="0"/>
          <w:numId w:val="1"/>
        </w:numPr>
        <w:tabs>
          <w:tab w:val="clear" w:pos="1440"/>
          <w:tab w:val="num" w:pos="2880"/>
          <w:tab w:val="right" w:pos="8407"/>
        </w:tabs>
        <w:ind w:left="2880"/>
        <w:jc w:val="both"/>
        <w:rPr>
          <w:rFonts w:ascii="Verdana" w:hAnsi="Verdana"/>
          <w:sz w:val="24"/>
        </w:rPr>
      </w:pPr>
      <w:r w:rsidRPr="006D5431">
        <w:rPr>
          <w:rFonts w:ascii="Verdana" w:hAnsi="Verdana"/>
          <w:sz w:val="24"/>
        </w:rPr>
        <w:t>Electronic Commerce</w:t>
      </w:r>
    </w:p>
    <w:p w:rsidR="00B86D6F" w:rsidRPr="006D5431" w:rsidRDefault="00B86D6F" w:rsidP="00B86D6F">
      <w:pPr>
        <w:numPr>
          <w:ilvl w:val="0"/>
          <w:numId w:val="1"/>
        </w:numPr>
        <w:tabs>
          <w:tab w:val="clear" w:pos="1440"/>
          <w:tab w:val="num" w:pos="2880"/>
          <w:tab w:val="right" w:pos="8407"/>
        </w:tabs>
        <w:ind w:left="2880"/>
        <w:jc w:val="both"/>
        <w:rPr>
          <w:rFonts w:ascii="Verdana" w:hAnsi="Verdana"/>
          <w:sz w:val="24"/>
        </w:rPr>
      </w:pPr>
      <w:r w:rsidRPr="006D5431">
        <w:rPr>
          <w:rFonts w:ascii="Verdana" w:hAnsi="Verdana"/>
          <w:sz w:val="24"/>
        </w:rPr>
        <w:t>Intellectual Property Law</w:t>
      </w:r>
    </w:p>
    <w:p w:rsidR="00B86D6F" w:rsidRPr="006D5431" w:rsidRDefault="00B86D6F" w:rsidP="00B86D6F">
      <w:pPr>
        <w:numPr>
          <w:ilvl w:val="0"/>
          <w:numId w:val="1"/>
        </w:numPr>
        <w:tabs>
          <w:tab w:val="clear" w:pos="1440"/>
          <w:tab w:val="num" w:pos="2880"/>
          <w:tab w:val="right" w:pos="8407"/>
        </w:tabs>
        <w:ind w:left="2880"/>
        <w:jc w:val="both"/>
        <w:rPr>
          <w:rFonts w:ascii="Verdana" w:hAnsi="Verdana"/>
          <w:sz w:val="24"/>
        </w:rPr>
      </w:pPr>
      <w:r w:rsidRPr="006D5431">
        <w:rPr>
          <w:rFonts w:ascii="Verdana" w:hAnsi="Verdana"/>
          <w:sz w:val="24"/>
        </w:rPr>
        <w:t>Jurisdiction and Enforcement</w:t>
      </w:r>
    </w:p>
    <w:p w:rsidR="00B86D6F" w:rsidRPr="006D5431" w:rsidRDefault="00B86D6F" w:rsidP="00B86D6F">
      <w:pPr>
        <w:numPr>
          <w:ilvl w:val="0"/>
          <w:numId w:val="1"/>
        </w:numPr>
        <w:tabs>
          <w:tab w:val="clear" w:pos="1440"/>
          <w:tab w:val="num" w:pos="2880"/>
          <w:tab w:val="right" w:pos="8407"/>
        </w:tabs>
        <w:ind w:left="2880"/>
        <w:jc w:val="both"/>
        <w:rPr>
          <w:rFonts w:ascii="Verdana" w:hAnsi="Verdana"/>
          <w:sz w:val="24"/>
        </w:rPr>
      </w:pPr>
      <w:r w:rsidRPr="006D5431">
        <w:rPr>
          <w:rFonts w:ascii="Verdana" w:hAnsi="Verdana"/>
          <w:sz w:val="24"/>
        </w:rPr>
        <w:t>Limitation Periods in the International Sale of Goods</w:t>
      </w:r>
    </w:p>
    <w:p w:rsidR="00B86D6F" w:rsidRPr="006D5431" w:rsidRDefault="00B86D6F" w:rsidP="00B86D6F">
      <w:pPr>
        <w:tabs>
          <w:tab w:val="right" w:pos="8407"/>
        </w:tabs>
        <w:ind w:left="1440"/>
        <w:jc w:val="both"/>
        <w:rPr>
          <w:rFonts w:ascii="Verdana" w:hAnsi="Verdana"/>
          <w:sz w:val="24"/>
        </w:rPr>
      </w:pPr>
    </w:p>
    <w:p w:rsidR="00B86D6F" w:rsidRPr="006D5431" w:rsidRDefault="00B86D6F" w:rsidP="00B86D6F">
      <w:pPr>
        <w:numPr>
          <w:ilvl w:val="0"/>
          <w:numId w:val="4"/>
        </w:numPr>
        <w:tabs>
          <w:tab w:val="right" w:pos="8407"/>
        </w:tabs>
        <w:jc w:val="both"/>
        <w:rPr>
          <w:rFonts w:ascii="Verdana" w:hAnsi="Verdana"/>
          <w:sz w:val="24"/>
        </w:rPr>
      </w:pPr>
      <w:r w:rsidRPr="006D5431">
        <w:rPr>
          <w:rFonts w:ascii="Verdana" w:hAnsi="Verdana"/>
          <w:sz w:val="24"/>
          <w:u w:val="single"/>
        </w:rPr>
        <w:lastRenderedPageBreak/>
        <w:t>Public Law</w:t>
      </w:r>
    </w:p>
    <w:p w:rsidR="00B86D6F" w:rsidRPr="006D5431" w:rsidRDefault="00B86D6F" w:rsidP="00B86D6F">
      <w:pPr>
        <w:tabs>
          <w:tab w:val="right" w:pos="8407"/>
        </w:tabs>
        <w:ind w:left="720"/>
        <w:jc w:val="both"/>
        <w:rPr>
          <w:rFonts w:ascii="Verdana" w:hAnsi="Verdana"/>
          <w:sz w:val="24"/>
        </w:rPr>
      </w:pPr>
      <w:r w:rsidRPr="006D5431">
        <w:rPr>
          <w:rFonts w:ascii="Verdana" w:hAnsi="Verdana"/>
          <w:sz w:val="24"/>
        </w:rPr>
        <w:t xml:space="preserve">This includes the rules relating to public bodies and international agreements, such </w:t>
      </w:r>
      <w:proofErr w:type="gramStart"/>
      <w:r w:rsidRPr="006D5431">
        <w:rPr>
          <w:rFonts w:ascii="Verdana" w:hAnsi="Verdana"/>
          <w:sz w:val="24"/>
        </w:rPr>
        <w:t>as :</w:t>
      </w:r>
      <w:proofErr w:type="gramEnd"/>
    </w:p>
    <w:p w:rsidR="00B86D6F" w:rsidRPr="006D5431" w:rsidRDefault="00B86D6F" w:rsidP="00B86D6F">
      <w:pPr>
        <w:numPr>
          <w:ilvl w:val="1"/>
          <w:numId w:val="4"/>
        </w:numPr>
        <w:tabs>
          <w:tab w:val="right" w:pos="8407"/>
        </w:tabs>
        <w:jc w:val="both"/>
        <w:rPr>
          <w:rFonts w:ascii="Verdana" w:hAnsi="Verdana"/>
          <w:sz w:val="24"/>
        </w:rPr>
      </w:pPr>
      <w:r w:rsidRPr="006D5431">
        <w:rPr>
          <w:rFonts w:ascii="Verdana" w:hAnsi="Verdana"/>
          <w:sz w:val="24"/>
        </w:rPr>
        <w:t>The World Trade Organisation</w:t>
      </w:r>
    </w:p>
    <w:p w:rsidR="00B86D6F" w:rsidRPr="006D5431" w:rsidRDefault="00B86D6F" w:rsidP="00B86D6F">
      <w:pPr>
        <w:numPr>
          <w:ilvl w:val="1"/>
          <w:numId w:val="4"/>
        </w:numPr>
        <w:tabs>
          <w:tab w:val="right" w:pos="8407"/>
        </w:tabs>
        <w:jc w:val="both"/>
        <w:rPr>
          <w:rFonts w:ascii="Verdana" w:hAnsi="Verdana"/>
          <w:sz w:val="24"/>
        </w:rPr>
      </w:pPr>
      <w:r w:rsidRPr="006D5431">
        <w:rPr>
          <w:rFonts w:ascii="Verdana" w:hAnsi="Verdana"/>
          <w:sz w:val="24"/>
        </w:rPr>
        <w:t>General Agreement(s) on Trade and Tariffs (GATT )</w:t>
      </w:r>
    </w:p>
    <w:p w:rsidR="00B86D6F" w:rsidRPr="006D5431" w:rsidRDefault="00B86D6F" w:rsidP="00B86D6F">
      <w:pPr>
        <w:numPr>
          <w:ilvl w:val="1"/>
          <w:numId w:val="4"/>
        </w:numPr>
        <w:tabs>
          <w:tab w:val="right" w:pos="8407"/>
        </w:tabs>
        <w:jc w:val="both"/>
        <w:rPr>
          <w:rFonts w:ascii="Verdana" w:hAnsi="Verdana"/>
          <w:sz w:val="24"/>
        </w:rPr>
      </w:pPr>
      <w:r w:rsidRPr="006D5431">
        <w:rPr>
          <w:rFonts w:ascii="Verdana" w:hAnsi="Verdana"/>
          <w:sz w:val="24"/>
        </w:rPr>
        <w:t>General agreement on Trade in Services ( GATS )</w:t>
      </w:r>
    </w:p>
    <w:p w:rsidR="00B86D6F" w:rsidRPr="006D5431" w:rsidRDefault="00B86D6F" w:rsidP="00B86D6F">
      <w:pPr>
        <w:numPr>
          <w:ilvl w:val="1"/>
          <w:numId w:val="4"/>
        </w:numPr>
        <w:tabs>
          <w:tab w:val="right" w:pos="8407"/>
        </w:tabs>
        <w:jc w:val="both"/>
        <w:rPr>
          <w:rFonts w:ascii="Verdana" w:hAnsi="Verdana"/>
          <w:sz w:val="24"/>
        </w:rPr>
      </w:pPr>
      <w:r w:rsidRPr="006D5431">
        <w:rPr>
          <w:rFonts w:ascii="Verdana" w:hAnsi="Verdana"/>
          <w:sz w:val="24"/>
        </w:rPr>
        <w:t xml:space="preserve">Trade Related Aspects of Intellectual Property Rights (TRIPS </w:t>
      </w:r>
    </w:p>
    <w:p w:rsidR="00B86D6F" w:rsidRPr="006D5431" w:rsidRDefault="00B86D6F" w:rsidP="00B86D6F">
      <w:pPr>
        <w:numPr>
          <w:ilvl w:val="1"/>
          <w:numId w:val="4"/>
        </w:numPr>
        <w:tabs>
          <w:tab w:val="right" w:pos="8407"/>
        </w:tabs>
        <w:jc w:val="both"/>
        <w:rPr>
          <w:rFonts w:ascii="Verdana" w:hAnsi="Verdana"/>
          <w:sz w:val="24"/>
        </w:rPr>
      </w:pPr>
      <w:r w:rsidRPr="006D5431">
        <w:rPr>
          <w:rFonts w:ascii="Verdana" w:hAnsi="Verdana"/>
          <w:sz w:val="24"/>
        </w:rPr>
        <w:t>Multilateral Agreement on Investment (MAI)</w:t>
      </w:r>
    </w:p>
    <w:p w:rsidR="00B86D6F" w:rsidRPr="006D5431" w:rsidRDefault="00B86D6F" w:rsidP="00B86D6F">
      <w:pPr>
        <w:numPr>
          <w:ilvl w:val="1"/>
          <w:numId w:val="4"/>
        </w:numPr>
        <w:tabs>
          <w:tab w:val="right" w:pos="8407"/>
        </w:tabs>
        <w:jc w:val="both"/>
        <w:rPr>
          <w:rFonts w:ascii="Verdana" w:hAnsi="Verdana"/>
          <w:sz w:val="24"/>
        </w:rPr>
      </w:pPr>
      <w:r w:rsidRPr="006D5431">
        <w:rPr>
          <w:rFonts w:ascii="Verdana" w:hAnsi="Verdana"/>
          <w:sz w:val="24"/>
        </w:rPr>
        <w:t>European Union (EU )</w:t>
      </w:r>
    </w:p>
    <w:p w:rsidR="00B86D6F" w:rsidRPr="006D5431" w:rsidRDefault="00B86D6F" w:rsidP="00B86D6F">
      <w:pPr>
        <w:numPr>
          <w:ilvl w:val="1"/>
          <w:numId w:val="4"/>
        </w:numPr>
        <w:tabs>
          <w:tab w:val="right" w:pos="8407"/>
        </w:tabs>
        <w:jc w:val="both"/>
        <w:rPr>
          <w:rFonts w:ascii="Verdana" w:hAnsi="Verdana"/>
          <w:sz w:val="24"/>
        </w:rPr>
      </w:pPr>
      <w:r w:rsidRPr="006D5431">
        <w:rPr>
          <w:rFonts w:ascii="Verdana" w:hAnsi="Verdana"/>
          <w:sz w:val="24"/>
        </w:rPr>
        <w:t>North American Free Trade Agreement NAFTA )</w:t>
      </w:r>
    </w:p>
    <w:p w:rsidR="00B86D6F" w:rsidRPr="006D5431" w:rsidRDefault="00B86D6F" w:rsidP="00B86D6F">
      <w:pPr>
        <w:numPr>
          <w:ilvl w:val="1"/>
          <w:numId w:val="4"/>
        </w:numPr>
        <w:tabs>
          <w:tab w:val="right" w:pos="8407"/>
        </w:tabs>
        <w:jc w:val="both"/>
        <w:rPr>
          <w:rFonts w:ascii="Verdana" w:hAnsi="Verdana"/>
          <w:sz w:val="24"/>
        </w:rPr>
      </w:pPr>
      <w:r w:rsidRPr="006D5431">
        <w:rPr>
          <w:rFonts w:ascii="Verdana" w:hAnsi="Verdana"/>
          <w:sz w:val="24"/>
        </w:rPr>
        <w:t>Regional Groupings and Harmonising Instruments</w:t>
      </w:r>
    </w:p>
    <w:p w:rsidR="00B86D6F" w:rsidRDefault="00B86D6F" w:rsidP="00B86D6F">
      <w:pPr>
        <w:tabs>
          <w:tab w:val="right" w:pos="8407"/>
        </w:tabs>
        <w:jc w:val="both"/>
        <w:rPr>
          <w:rFonts w:ascii="Verdana" w:hAnsi="Verdana"/>
          <w:sz w:val="24"/>
        </w:rPr>
      </w:pPr>
    </w:p>
    <w:p w:rsidR="00B86D6F" w:rsidRPr="006D5431" w:rsidRDefault="00B86D6F" w:rsidP="00B86D6F">
      <w:pPr>
        <w:tabs>
          <w:tab w:val="right" w:pos="8407"/>
        </w:tabs>
        <w:jc w:val="both"/>
        <w:rPr>
          <w:rFonts w:ascii="Verdana" w:hAnsi="Verdana"/>
          <w:sz w:val="24"/>
        </w:rPr>
      </w:pPr>
      <w:r w:rsidRPr="006D5431">
        <w:rPr>
          <w:rFonts w:ascii="Verdana" w:hAnsi="Verdana"/>
          <w:sz w:val="24"/>
        </w:rPr>
        <w:t>The course focuses on the public/macro aspects of international trade law, most particularly the provisions and jurisprudence of the World Trade Organisation and the Agreements under its aegis. It then considers in detail the law of the European Union in so far as it concerns the free movement of goods. The comparative approaches of the WTO and the EU are considered in detail.</w:t>
      </w:r>
    </w:p>
    <w:p w:rsidR="00B86D6F" w:rsidRDefault="00B86D6F" w:rsidP="00B86D6F">
      <w:pPr>
        <w:tabs>
          <w:tab w:val="right" w:pos="8407"/>
        </w:tabs>
        <w:jc w:val="both"/>
        <w:rPr>
          <w:rFonts w:ascii="Verdana" w:hAnsi="Verdana"/>
          <w:sz w:val="24"/>
        </w:rPr>
      </w:pPr>
    </w:p>
    <w:p w:rsidR="00B86D6F" w:rsidRDefault="00B86D6F" w:rsidP="00B86D6F">
      <w:pPr>
        <w:tabs>
          <w:tab w:val="right" w:pos="8407"/>
        </w:tabs>
        <w:jc w:val="both"/>
        <w:rPr>
          <w:rFonts w:ascii="Verdana" w:hAnsi="Verdana"/>
          <w:sz w:val="24"/>
        </w:rPr>
      </w:pPr>
    </w:p>
    <w:p w:rsidR="00B86D6F" w:rsidRDefault="00B86D6F" w:rsidP="00B86D6F">
      <w:pPr>
        <w:tabs>
          <w:tab w:val="right" w:pos="8407"/>
        </w:tabs>
        <w:jc w:val="both"/>
        <w:rPr>
          <w:rFonts w:ascii="Verdana" w:hAnsi="Verdana"/>
          <w:sz w:val="24"/>
        </w:rPr>
      </w:pPr>
    </w:p>
    <w:p w:rsidR="00B86D6F" w:rsidRPr="00664F41" w:rsidRDefault="00B86D6F" w:rsidP="00B86D6F">
      <w:pPr>
        <w:tabs>
          <w:tab w:val="right" w:pos="8407"/>
        </w:tabs>
        <w:jc w:val="both"/>
        <w:rPr>
          <w:rFonts w:ascii="Verdana" w:hAnsi="Verdana"/>
          <w:sz w:val="32"/>
          <w:szCs w:val="32"/>
        </w:rPr>
      </w:pPr>
      <w:r w:rsidRPr="00664F41">
        <w:rPr>
          <w:rFonts w:ascii="Verdana" w:hAnsi="Verdana"/>
          <w:b/>
          <w:sz w:val="32"/>
          <w:szCs w:val="32"/>
        </w:rPr>
        <w:t xml:space="preserve">LEGAL REGULATION OF INTERNATIONAL TRADE </w:t>
      </w:r>
    </w:p>
    <w:p w:rsidR="00B86D6F" w:rsidRDefault="00B86D6F" w:rsidP="00B86D6F">
      <w:pPr>
        <w:tabs>
          <w:tab w:val="right" w:pos="8407"/>
        </w:tabs>
        <w:jc w:val="both"/>
        <w:rPr>
          <w:rFonts w:ascii="Verdana" w:hAnsi="Verdana"/>
          <w:sz w:val="24"/>
        </w:rPr>
      </w:pPr>
    </w:p>
    <w:p w:rsidR="00B86D6F" w:rsidRPr="006D5431" w:rsidRDefault="00B86D6F" w:rsidP="00B86D6F">
      <w:pPr>
        <w:tabs>
          <w:tab w:val="right" w:pos="8407"/>
        </w:tabs>
        <w:jc w:val="both"/>
        <w:rPr>
          <w:rFonts w:ascii="Verdana" w:hAnsi="Verdana"/>
          <w:sz w:val="24"/>
        </w:rPr>
      </w:pPr>
      <w:r w:rsidRPr="006D5431">
        <w:rPr>
          <w:rFonts w:ascii="Verdana" w:hAnsi="Verdana"/>
          <w:sz w:val="24"/>
        </w:rPr>
        <w:t>The nature of public international trade law is such that arguably it does not fulfil criteria for its designation as law at all. That is, it relates to treaty obligations that do not ultimately translate into a set of legally enforceable rights and duties. This is unlike the directly effective provisions of the Treaties that form the European Union, from the Treaty of Rome onwards.</w:t>
      </w:r>
    </w:p>
    <w:p w:rsidR="00B86D6F" w:rsidRDefault="00B86D6F" w:rsidP="00B86D6F">
      <w:pPr>
        <w:overflowPunct w:val="0"/>
        <w:autoSpaceDE w:val="0"/>
        <w:autoSpaceDN w:val="0"/>
        <w:adjustRightInd w:val="0"/>
        <w:jc w:val="both"/>
        <w:textAlignment w:val="baseline"/>
        <w:rPr>
          <w:rFonts w:ascii="Verdana" w:hAnsi="Verdana"/>
          <w:sz w:val="24"/>
        </w:rPr>
      </w:pPr>
    </w:p>
    <w:p w:rsidR="00B86D6F" w:rsidRPr="006D5431" w:rsidRDefault="00B86D6F" w:rsidP="00B86D6F">
      <w:pPr>
        <w:overflowPunct w:val="0"/>
        <w:autoSpaceDE w:val="0"/>
        <w:autoSpaceDN w:val="0"/>
        <w:adjustRightInd w:val="0"/>
        <w:jc w:val="both"/>
        <w:textAlignment w:val="baseline"/>
        <w:rPr>
          <w:rFonts w:ascii="Verdana" w:hAnsi="Verdana"/>
          <w:sz w:val="24"/>
        </w:rPr>
      </w:pPr>
      <w:r w:rsidRPr="006D5431">
        <w:rPr>
          <w:rFonts w:ascii="Verdana" w:hAnsi="Verdana"/>
          <w:sz w:val="24"/>
        </w:rPr>
        <w:t xml:space="preserve">The law of international trade is in one sense a law-free area because for some lawyers, law derives from a sovereign power i.e. a state which has power to enforce its law by sanction. It could be said therefore that there is no international trade or commercial law, because there is no world government with sovereign powers. The EU is an exception to the standard form of treaty organisation in that its member states have voluntarily given up sovereignty in areas covered by </w:t>
      </w:r>
      <w:proofErr w:type="gramStart"/>
      <w:r w:rsidRPr="006D5431">
        <w:rPr>
          <w:rFonts w:ascii="Verdana" w:hAnsi="Verdana"/>
          <w:sz w:val="24"/>
        </w:rPr>
        <w:t>the  EU</w:t>
      </w:r>
      <w:proofErr w:type="gramEnd"/>
      <w:r w:rsidRPr="006D5431">
        <w:rPr>
          <w:rFonts w:ascii="Verdana" w:hAnsi="Verdana"/>
          <w:sz w:val="24"/>
        </w:rPr>
        <w:t xml:space="preserve"> Treaties.</w:t>
      </w:r>
    </w:p>
    <w:p w:rsidR="00B86D6F" w:rsidRDefault="00B86D6F" w:rsidP="00B86D6F">
      <w:pPr>
        <w:tabs>
          <w:tab w:val="right" w:pos="8407"/>
        </w:tabs>
        <w:jc w:val="both"/>
        <w:rPr>
          <w:rFonts w:ascii="Verdana" w:hAnsi="Verdana"/>
          <w:sz w:val="24"/>
        </w:rPr>
      </w:pPr>
    </w:p>
    <w:p w:rsidR="00B86D6F" w:rsidRPr="006D5431" w:rsidRDefault="00B86D6F" w:rsidP="00B86D6F">
      <w:pPr>
        <w:tabs>
          <w:tab w:val="right" w:pos="8407"/>
        </w:tabs>
        <w:jc w:val="both"/>
        <w:rPr>
          <w:rFonts w:ascii="Verdana" w:hAnsi="Verdana"/>
          <w:sz w:val="24"/>
        </w:rPr>
      </w:pPr>
      <w:r w:rsidRPr="006D5431">
        <w:rPr>
          <w:rFonts w:ascii="Verdana" w:hAnsi="Verdana"/>
          <w:sz w:val="24"/>
        </w:rPr>
        <w:t>Economic assumptions that lie behind the most important multi lateral international trade agreements such as GATT are usually implicit. They ultimately depend on three basic assumptions:</w:t>
      </w:r>
    </w:p>
    <w:p w:rsidR="00B86D6F" w:rsidRPr="006D5431" w:rsidRDefault="00B86D6F" w:rsidP="00B86D6F">
      <w:pPr>
        <w:numPr>
          <w:ilvl w:val="0"/>
          <w:numId w:val="5"/>
        </w:numPr>
        <w:tabs>
          <w:tab w:val="right" w:pos="8407"/>
        </w:tabs>
        <w:jc w:val="both"/>
        <w:rPr>
          <w:rFonts w:ascii="Verdana" w:hAnsi="Verdana"/>
          <w:sz w:val="24"/>
        </w:rPr>
      </w:pPr>
      <w:r w:rsidRPr="006D5431">
        <w:rPr>
          <w:rFonts w:ascii="Verdana" w:hAnsi="Verdana"/>
          <w:sz w:val="24"/>
        </w:rPr>
        <w:t>Free Trade is an economically efficient way of allocating resources based on the theory of comparative advantage.</w:t>
      </w:r>
    </w:p>
    <w:p w:rsidR="00B86D6F" w:rsidRPr="006D5431" w:rsidRDefault="00B86D6F" w:rsidP="00B86D6F">
      <w:pPr>
        <w:numPr>
          <w:ilvl w:val="0"/>
          <w:numId w:val="5"/>
        </w:numPr>
        <w:tabs>
          <w:tab w:val="right" w:pos="8407"/>
        </w:tabs>
        <w:jc w:val="both"/>
        <w:rPr>
          <w:rFonts w:ascii="Verdana" w:hAnsi="Verdana"/>
          <w:sz w:val="24"/>
        </w:rPr>
      </w:pPr>
      <w:r w:rsidRPr="006D5431">
        <w:rPr>
          <w:rFonts w:ascii="Verdana" w:hAnsi="Verdana"/>
          <w:sz w:val="24"/>
        </w:rPr>
        <w:t>Free trade requires reciprocity</w:t>
      </w:r>
    </w:p>
    <w:p w:rsidR="00B86D6F" w:rsidRPr="006D5431" w:rsidRDefault="00B86D6F" w:rsidP="00B86D6F">
      <w:pPr>
        <w:numPr>
          <w:ilvl w:val="0"/>
          <w:numId w:val="5"/>
        </w:numPr>
        <w:tabs>
          <w:tab w:val="right" w:pos="8407"/>
        </w:tabs>
        <w:jc w:val="both"/>
        <w:rPr>
          <w:rFonts w:ascii="Verdana" w:hAnsi="Verdana"/>
          <w:sz w:val="24"/>
        </w:rPr>
      </w:pPr>
      <w:r w:rsidRPr="006D5431">
        <w:rPr>
          <w:rFonts w:ascii="Verdana" w:hAnsi="Verdana"/>
          <w:sz w:val="24"/>
        </w:rPr>
        <w:t>Deviations from free trade require justification</w:t>
      </w:r>
    </w:p>
    <w:p w:rsidR="00B86D6F" w:rsidRPr="006D5431" w:rsidRDefault="00B86D6F" w:rsidP="00B86D6F">
      <w:pPr>
        <w:tabs>
          <w:tab w:val="right" w:pos="8407"/>
        </w:tabs>
        <w:ind w:left="1440"/>
        <w:jc w:val="both"/>
        <w:rPr>
          <w:rFonts w:ascii="Verdana" w:hAnsi="Verdana"/>
          <w:sz w:val="24"/>
        </w:rPr>
      </w:pPr>
    </w:p>
    <w:p w:rsidR="00B86D6F" w:rsidRPr="006D5431" w:rsidRDefault="00B86D6F" w:rsidP="00B86D6F">
      <w:pPr>
        <w:tabs>
          <w:tab w:val="right" w:pos="8407"/>
        </w:tabs>
        <w:ind w:left="1800"/>
        <w:jc w:val="both"/>
        <w:rPr>
          <w:rFonts w:ascii="Verdana" w:hAnsi="Verdana"/>
          <w:sz w:val="24"/>
        </w:rPr>
      </w:pPr>
    </w:p>
    <w:p w:rsidR="00B86D6F" w:rsidRPr="00F04221" w:rsidRDefault="00B86D6F" w:rsidP="00B86D6F">
      <w:pPr>
        <w:jc w:val="both"/>
        <w:rPr>
          <w:rFonts w:ascii="Verdana" w:hAnsi="Verdana"/>
          <w:b/>
          <w:sz w:val="24"/>
        </w:rPr>
      </w:pPr>
      <w:proofErr w:type="gramStart"/>
      <w:r w:rsidRPr="00F04221">
        <w:rPr>
          <w:rFonts w:ascii="Verdana" w:hAnsi="Verdana"/>
          <w:b/>
          <w:sz w:val="24"/>
        </w:rPr>
        <w:lastRenderedPageBreak/>
        <w:t>Comparative advantage.</w:t>
      </w:r>
      <w:proofErr w:type="gramEnd"/>
    </w:p>
    <w:p w:rsidR="00B86D6F" w:rsidRDefault="00B86D6F" w:rsidP="00B86D6F">
      <w:pPr>
        <w:jc w:val="both"/>
        <w:rPr>
          <w:rFonts w:ascii="Verdana" w:hAnsi="Verdana"/>
          <w:sz w:val="24"/>
        </w:rPr>
      </w:pPr>
    </w:p>
    <w:p w:rsidR="00B86D6F" w:rsidRPr="006D5431" w:rsidRDefault="00B86D6F" w:rsidP="00B86D6F">
      <w:pPr>
        <w:jc w:val="both"/>
        <w:rPr>
          <w:rFonts w:ascii="Verdana" w:hAnsi="Verdana"/>
          <w:sz w:val="24"/>
        </w:rPr>
      </w:pPr>
      <w:r w:rsidRPr="006D5431">
        <w:rPr>
          <w:rFonts w:ascii="Verdana" w:hAnsi="Verdana"/>
          <w:sz w:val="24"/>
        </w:rPr>
        <w:t xml:space="preserve">Suppose country A is better than country B at making cars, and country B is better than country A at making bread. It is obvious (the academics would say “trivial”) that both would benefit if </w:t>
      </w:r>
      <w:proofErr w:type="gramStart"/>
      <w:r w:rsidRPr="006D5431">
        <w:rPr>
          <w:rFonts w:ascii="Verdana" w:hAnsi="Verdana"/>
          <w:sz w:val="24"/>
        </w:rPr>
        <w:t>A</w:t>
      </w:r>
      <w:proofErr w:type="gramEnd"/>
      <w:r w:rsidRPr="006D5431">
        <w:rPr>
          <w:rFonts w:ascii="Verdana" w:hAnsi="Verdana"/>
          <w:sz w:val="24"/>
        </w:rPr>
        <w:t xml:space="preserve"> specialized in cars, B specialized in bread and they traded their products. That is a case of absolute advantage. </w:t>
      </w:r>
    </w:p>
    <w:p w:rsidR="00B86D6F" w:rsidRDefault="00B86D6F" w:rsidP="00B86D6F">
      <w:pPr>
        <w:jc w:val="both"/>
        <w:rPr>
          <w:rFonts w:ascii="Verdana" w:hAnsi="Verdana"/>
          <w:sz w:val="24"/>
        </w:rPr>
      </w:pPr>
    </w:p>
    <w:p w:rsidR="00B86D6F" w:rsidRPr="006D5431" w:rsidRDefault="00B86D6F" w:rsidP="00B86D6F">
      <w:pPr>
        <w:jc w:val="both"/>
        <w:rPr>
          <w:rFonts w:ascii="Verdana" w:hAnsi="Verdana"/>
          <w:sz w:val="24"/>
        </w:rPr>
      </w:pPr>
      <w:r w:rsidRPr="006D5431">
        <w:rPr>
          <w:rFonts w:ascii="Verdana" w:hAnsi="Verdana"/>
          <w:sz w:val="24"/>
        </w:rPr>
        <w:t>But what if a country is bad at making everything? Will trade drive all producers out of business? The answer, according to Ricardo, is no. The reason is the principle of comparative advantage, arguably the single most powerful insight in economics.</w:t>
      </w:r>
    </w:p>
    <w:p w:rsidR="00B86D6F" w:rsidRPr="006D5431" w:rsidRDefault="00B86D6F" w:rsidP="00B86D6F">
      <w:pPr>
        <w:ind w:left="1440"/>
        <w:jc w:val="both"/>
        <w:rPr>
          <w:rFonts w:ascii="Verdana" w:hAnsi="Verdana"/>
          <w:sz w:val="24"/>
        </w:rPr>
      </w:pPr>
      <w:r w:rsidRPr="006D5431">
        <w:rPr>
          <w:rFonts w:ascii="Verdana" w:hAnsi="Verdana"/>
          <w:sz w:val="24"/>
        </w:rPr>
        <w:t xml:space="preserve"> </w:t>
      </w:r>
    </w:p>
    <w:p w:rsidR="00B86D6F" w:rsidRPr="006D5431" w:rsidRDefault="00B86D6F" w:rsidP="00B86D6F">
      <w:pPr>
        <w:jc w:val="both"/>
        <w:rPr>
          <w:rFonts w:ascii="Verdana" w:hAnsi="Verdana"/>
          <w:sz w:val="24"/>
        </w:rPr>
      </w:pPr>
      <w:r w:rsidRPr="006D5431">
        <w:rPr>
          <w:rFonts w:ascii="Verdana" w:hAnsi="Verdana"/>
          <w:sz w:val="24"/>
        </w:rPr>
        <w:t xml:space="preserve">According to the principle of comparative advantage, countries A and B still stand to benefit from trading with each other even if A is better than B at making everything, both cars and bread. If A is superior at making cars and only slightly superior at making bread, then A should still invest resources in what it does best — producing cars — and export the product to B. B should still invest in what it does best — making bread — and export that product to A, even if it is not as efficient as A. Both would still benefit from the trade. A country does not have to be best at anything to gain from trade. That is comparative advantage.  </w:t>
      </w:r>
    </w:p>
    <w:p w:rsidR="00B86D6F" w:rsidRPr="006D5431" w:rsidRDefault="00B86D6F" w:rsidP="00B86D6F">
      <w:pPr>
        <w:ind w:left="1440"/>
        <w:jc w:val="both"/>
        <w:rPr>
          <w:rFonts w:ascii="Verdana" w:hAnsi="Verdana"/>
          <w:sz w:val="24"/>
        </w:rPr>
      </w:pPr>
    </w:p>
    <w:p w:rsidR="00B86D6F" w:rsidRPr="006D5431" w:rsidRDefault="00B86D6F" w:rsidP="00B86D6F">
      <w:pPr>
        <w:jc w:val="both"/>
        <w:rPr>
          <w:rFonts w:ascii="Verdana" w:hAnsi="Verdana"/>
          <w:sz w:val="24"/>
        </w:rPr>
      </w:pPr>
      <w:r w:rsidRPr="006D5431">
        <w:rPr>
          <w:rFonts w:ascii="Verdana" w:hAnsi="Verdana"/>
          <w:sz w:val="24"/>
        </w:rPr>
        <w:t>The theory is one of the most widely accepted among economists. It is also one of the most misunderstood among non-economists because it is confused with absolute advantage. It is often claimed, for example, that some countries have no comparative advantage in anything.</w:t>
      </w:r>
    </w:p>
    <w:p w:rsidR="00B86D6F" w:rsidRPr="006D5431" w:rsidRDefault="00B86D6F" w:rsidP="00B86D6F">
      <w:pPr>
        <w:ind w:left="1440"/>
        <w:jc w:val="both"/>
        <w:rPr>
          <w:rFonts w:ascii="Verdana" w:hAnsi="Verdana"/>
          <w:sz w:val="24"/>
        </w:rPr>
      </w:pPr>
    </w:p>
    <w:p w:rsidR="00B86D6F" w:rsidRPr="006D5431" w:rsidRDefault="00B86D6F" w:rsidP="00B86D6F">
      <w:pPr>
        <w:jc w:val="both"/>
        <w:rPr>
          <w:rFonts w:ascii="Verdana" w:hAnsi="Verdana"/>
          <w:sz w:val="24"/>
        </w:rPr>
      </w:pPr>
      <w:r w:rsidRPr="006D5431">
        <w:rPr>
          <w:rFonts w:ascii="Verdana" w:hAnsi="Verdana"/>
          <w:sz w:val="24"/>
        </w:rPr>
        <w:t>The data show a definite statistical link between freer trade and economic growth. Economic theory points to strong reasons for the link. All countries, including the poorest, have assets — human, industrial, natural, financial — which they can employ to produce goods and services for their domestic markets or to compete overseas. Economics tells us that we can benefit when these goods and services are traded. Simply put, the principle of “comparative advantage” says that countries prosper first by taking advantage of their assets in order to concentrate on what they can produce best, and then by trading these products for products that other countries produce best.</w:t>
      </w:r>
    </w:p>
    <w:p w:rsidR="00B86D6F" w:rsidRPr="006D5431" w:rsidRDefault="00B86D6F" w:rsidP="00B86D6F">
      <w:pPr>
        <w:ind w:left="1440"/>
        <w:jc w:val="both"/>
        <w:rPr>
          <w:rFonts w:ascii="Verdana" w:hAnsi="Verdana"/>
          <w:sz w:val="24"/>
        </w:rPr>
      </w:pPr>
      <w:r w:rsidRPr="006D5431">
        <w:rPr>
          <w:rFonts w:ascii="Verdana" w:hAnsi="Verdana"/>
          <w:sz w:val="24"/>
        </w:rPr>
        <w:t xml:space="preserve"> </w:t>
      </w:r>
    </w:p>
    <w:p w:rsidR="00B86D6F" w:rsidRDefault="00B86D6F" w:rsidP="00B86D6F">
      <w:pPr>
        <w:tabs>
          <w:tab w:val="right" w:pos="8407"/>
        </w:tabs>
        <w:ind w:left="1440"/>
        <w:jc w:val="both"/>
        <w:rPr>
          <w:rFonts w:ascii="Verdana" w:hAnsi="Verdana"/>
          <w:sz w:val="24"/>
        </w:rPr>
      </w:pPr>
    </w:p>
    <w:p w:rsidR="00B86D6F" w:rsidRPr="006D5431" w:rsidRDefault="00B86D6F" w:rsidP="00B86D6F">
      <w:pPr>
        <w:jc w:val="both"/>
        <w:rPr>
          <w:rFonts w:ascii="Verdana" w:hAnsi="Verdana"/>
          <w:b/>
          <w:sz w:val="24"/>
        </w:rPr>
      </w:pPr>
      <w:r w:rsidRPr="006D5431">
        <w:rPr>
          <w:rFonts w:ascii="Verdana" w:hAnsi="Verdana"/>
          <w:b/>
          <w:sz w:val="24"/>
        </w:rPr>
        <w:t>Reciprocity - multilateral agreements</w:t>
      </w:r>
    </w:p>
    <w:p w:rsidR="00B86D6F" w:rsidRPr="006D5431" w:rsidRDefault="00B86D6F" w:rsidP="00B86D6F">
      <w:pPr>
        <w:ind w:left="1440"/>
        <w:jc w:val="both"/>
        <w:rPr>
          <w:rFonts w:ascii="Verdana" w:hAnsi="Verdana"/>
          <w:sz w:val="24"/>
        </w:rPr>
      </w:pPr>
    </w:p>
    <w:p w:rsidR="00B86D6F" w:rsidRPr="006D5431" w:rsidRDefault="00B86D6F" w:rsidP="00B86D6F">
      <w:pPr>
        <w:jc w:val="both"/>
        <w:rPr>
          <w:rFonts w:ascii="Verdana" w:hAnsi="Verdana"/>
          <w:sz w:val="24"/>
        </w:rPr>
      </w:pPr>
      <w:r w:rsidRPr="006D5431">
        <w:rPr>
          <w:rFonts w:ascii="Verdana" w:hAnsi="Verdana"/>
          <w:sz w:val="24"/>
        </w:rPr>
        <w:t xml:space="preserve">The economic case for an open trading system based upon multilaterally agreed rules rests largely on commercial common sense. It is also supported by evidence: the experience of world trade and economic growth since the Second World War. Tariffs on industrial products have fallen steeply and now in 2006 average less than 4% in industrial </w:t>
      </w:r>
      <w:r w:rsidRPr="006D5431">
        <w:rPr>
          <w:rFonts w:ascii="Verdana" w:hAnsi="Verdana"/>
          <w:sz w:val="24"/>
        </w:rPr>
        <w:lastRenderedPageBreak/>
        <w:t xml:space="preserve">countries. During the first decades after the war world economic growth averaged about 5% per year, a high rate that was partly the result of lower trade barriers. World trade grew even faster, averaging about 8% during the period. </w:t>
      </w:r>
    </w:p>
    <w:p w:rsidR="00B86D6F" w:rsidRPr="006D5431" w:rsidRDefault="00B86D6F" w:rsidP="00B86D6F">
      <w:pPr>
        <w:ind w:left="1440"/>
        <w:jc w:val="both"/>
        <w:rPr>
          <w:rFonts w:ascii="Verdana" w:hAnsi="Verdana"/>
          <w:sz w:val="24"/>
        </w:rPr>
      </w:pPr>
    </w:p>
    <w:p w:rsidR="00B86D6F" w:rsidRPr="006D5431" w:rsidRDefault="00B86D6F" w:rsidP="00B86D6F">
      <w:pPr>
        <w:jc w:val="both"/>
        <w:rPr>
          <w:rFonts w:ascii="Verdana" w:hAnsi="Verdana"/>
          <w:sz w:val="24"/>
        </w:rPr>
      </w:pPr>
      <w:r w:rsidRPr="006D5431">
        <w:rPr>
          <w:rFonts w:ascii="Verdana" w:hAnsi="Verdana"/>
          <w:sz w:val="24"/>
        </w:rPr>
        <w:t xml:space="preserve">But success in trade is not static. The ability to compete successfully in particular products can shift from company to company when the </w:t>
      </w:r>
      <w:smartTag w:uri="urn:schemas-microsoft-com:office:smarttags" w:element="PersonName">
        <w:r w:rsidRPr="006D5431">
          <w:rPr>
            <w:rFonts w:ascii="Verdana" w:hAnsi="Verdana"/>
            <w:sz w:val="24"/>
          </w:rPr>
          <w:t>mark</w:t>
        </w:r>
      </w:smartTag>
      <w:r w:rsidRPr="006D5431">
        <w:rPr>
          <w:rFonts w:ascii="Verdana" w:hAnsi="Verdana"/>
          <w:sz w:val="24"/>
        </w:rPr>
        <w:t xml:space="preserve">et changes or new technologies make cheaper and better products possible. Experience shows that competitiveness can also shift between whole countries. A country that may have enjoyed an advantage because of lower labour costs or because it had good supplies of some natural resources, could also become uncompetitive in some goods or services as its economy develops. However, with the stimulus of an open economy, the country can move on to become competitive in some other goods or services. This is normally a gradual process. When the trading system is allowed to operate without the constraints of protectionism, firms are encouraged to adapt gradually and in a relatively painless way. They can focus on new products, find a new “niche” in their current area or expand into new areas.  </w:t>
      </w:r>
    </w:p>
    <w:p w:rsidR="00B86D6F" w:rsidRPr="006D5431" w:rsidRDefault="00B86D6F" w:rsidP="00B86D6F">
      <w:pPr>
        <w:ind w:left="1440"/>
        <w:jc w:val="both"/>
        <w:rPr>
          <w:rFonts w:ascii="Verdana" w:hAnsi="Verdana"/>
          <w:sz w:val="24"/>
        </w:rPr>
      </w:pPr>
    </w:p>
    <w:p w:rsidR="00B86D6F" w:rsidRPr="006D5431" w:rsidRDefault="00B86D6F" w:rsidP="00B86D6F">
      <w:pPr>
        <w:jc w:val="both"/>
        <w:rPr>
          <w:rFonts w:ascii="Verdana" w:hAnsi="Verdana"/>
          <w:sz w:val="24"/>
        </w:rPr>
      </w:pPr>
      <w:r w:rsidRPr="006D5431">
        <w:rPr>
          <w:rFonts w:ascii="Verdana" w:hAnsi="Verdana"/>
          <w:sz w:val="24"/>
        </w:rPr>
        <w:t xml:space="preserve">The alternative is protection against competition from imports, and long term government subsidies. If other governments pursue the same policies, </w:t>
      </w:r>
      <w:smartTag w:uri="urn:schemas-microsoft-com:office:smarttags" w:element="PersonName">
        <w:r w:rsidRPr="006D5431">
          <w:rPr>
            <w:rFonts w:ascii="Verdana" w:hAnsi="Verdana"/>
            <w:sz w:val="24"/>
          </w:rPr>
          <w:t>mark</w:t>
        </w:r>
      </w:smartTag>
      <w:r w:rsidRPr="006D5431">
        <w:rPr>
          <w:rFonts w:ascii="Verdana" w:hAnsi="Verdana"/>
          <w:sz w:val="24"/>
        </w:rPr>
        <w:t xml:space="preserve">ets contract and world economic activity is reduced. One of the objectives of the WTO is to prevent a drift into protectionism. </w:t>
      </w:r>
    </w:p>
    <w:p w:rsidR="00B86D6F" w:rsidRDefault="00B86D6F" w:rsidP="00B86D6F">
      <w:pPr>
        <w:jc w:val="both"/>
        <w:rPr>
          <w:rFonts w:ascii="Verdana" w:hAnsi="Verdana"/>
          <w:b/>
          <w:sz w:val="24"/>
        </w:rPr>
      </w:pPr>
    </w:p>
    <w:p w:rsidR="00B86D6F" w:rsidRDefault="00B86D6F" w:rsidP="00B86D6F">
      <w:pPr>
        <w:jc w:val="both"/>
        <w:rPr>
          <w:rFonts w:ascii="Verdana" w:hAnsi="Verdana"/>
          <w:b/>
          <w:sz w:val="24"/>
        </w:rPr>
      </w:pPr>
    </w:p>
    <w:p w:rsidR="00B86D6F" w:rsidRPr="006D5431" w:rsidRDefault="00B86D6F" w:rsidP="00B86D6F">
      <w:pPr>
        <w:jc w:val="both"/>
        <w:rPr>
          <w:rFonts w:ascii="Verdana" w:hAnsi="Verdana"/>
          <w:b/>
          <w:sz w:val="24"/>
        </w:rPr>
      </w:pPr>
      <w:r w:rsidRPr="006D5431">
        <w:rPr>
          <w:rFonts w:ascii="Verdana" w:hAnsi="Verdana"/>
          <w:b/>
          <w:sz w:val="24"/>
        </w:rPr>
        <w:t>Deviations from free trade</w:t>
      </w:r>
    </w:p>
    <w:p w:rsidR="00B86D6F" w:rsidRPr="006D5431" w:rsidRDefault="00B86D6F" w:rsidP="00B86D6F">
      <w:pPr>
        <w:ind w:left="1440"/>
        <w:jc w:val="both"/>
        <w:rPr>
          <w:rFonts w:ascii="Verdana" w:hAnsi="Verdana"/>
          <w:sz w:val="24"/>
        </w:rPr>
      </w:pPr>
    </w:p>
    <w:p w:rsidR="00B86D6F" w:rsidRPr="006D5431" w:rsidRDefault="00B86D6F" w:rsidP="00B86D6F">
      <w:pPr>
        <w:jc w:val="both"/>
        <w:rPr>
          <w:rFonts w:ascii="Verdana" w:hAnsi="Verdana"/>
          <w:sz w:val="24"/>
        </w:rPr>
      </w:pPr>
      <w:r w:rsidRPr="006D5431">
        <w:rPr>
          <w:rFonts w:ascii="Verdana" w:hAnsi="Verdana"/>
          <w:sz w:val="24"/>
        </w:rPr>
        <w:t>The WTO recognises that there are many reasons why particular needs and circumstances may not be met by unrestricted trade. However, these retreats from free trade are treated as exceptional, and as far as possible temporary. They must be justified by reference to the appropriate provision/s of the WTO agreements which are considered below.</w:t>
      </w:r>
    </w:p>
    <w:p w:rsidR="00B86D6F" w:rsidRPr="006D5431" w:rsidRDefault="00B86D6F" w:rsidP="00B86D6F">
      <w:pPr>
        <w:ind w:left="1440"/>
        <w:jc w:val="both"/>
        <w:rPr>
          <w:rFonts w:ascii="Verdana" w:hAnsi="Verdana"/>
          <w:sz w:val="24"/>
        </w:rPr>
      </w:pPr>
    </w:p>
    <w:p w:rsidR="00B86D6F" w:rsidRPr="006D5431" w:rsidRDefault="00B86D6F" w:rsidP="00B86D6F">
      <w:pPr>
        <w:ind w:left="1440"/>
        <w:jc w:val="both"/>
        <w:rPr>
          <w:rFonts w:ascii="Verdana" w:hAnsi="Verdana"/>
          <w:b/>
          <w:sz w:val="24"/>
        </w:rPr>
      </w:pPr>
    </w:p>
    <w:p w:rsidR="00B86D6F" w:rsidRPr="006D5431" w:rsidRDefault="00B86D6F" w:rsidP="00B86D6F">
      <w:pPr>
        <w:ind w:left="1440"/>
        <w:jc w:val="both"/>
        <w:rPr>
          <w:rFonts w:ascii="Verdana" w:hAnsi="Verdana"/>
          <w:b/>
          <w:sz w:val="24"/>
        </w:rPr>
      </w:pPr>
    </w:p>
    <w:p w:rsidR="00B86D6F" w:rsidRPr="006D5431" w:rsidRDefault="00B86D6F" w:rsidP="00B86D6F">
      <w:pPr>
        <w:ind w:left="1440"/>
        <w:jc w:val="both"/>
        <w:rPr>
          <w:rFonts w:ascii="Verdana" w:hAnsi="Verdana"/>
          <w:b/>
          <w:sz w:val="24"/>
        </w:rPr>
      </w:pPr>
    </w:p>
    <w:p w:rsidR="00B86D6F" w:rsidRDefault="00B86D6F" w:rsidP="00B86D6F">
      <w:pPr>
        <w:ind w:left="1440"/>
        <w:jc w:val="both"/>
        <w:rPr>
          <w:rFonts w:ascii="Verdana" w:hAnsi="Verdana"/>
          <w:b/>
          <w:sz w:val="24"/>
        </w:rPr>
      </w:pPr>
    </w:p>
    <w:p w:rsidR="00B86D6F" w:rsidRDefault="00B86D6F" w:rsidP="00B86D6F">
      <w:pPr>
        <w:ind w:left="1440"/>
        <w:jc w:val="both"/>
        <w:rPr>
          <w:rFonts w:ascii="Verdana" w:hAnsi="Verdana"/>
          <w:b/>
          <w:sz w:val="24"/>
        </w:rPr>
      </w:pPr>
    </w:p>
    <w:p w:rsidR="00B86D6F" w:rsidRDefault="00B86D6F" w:rsidP="00B86D6F">
      <w:pPr>
        <w:ind w:left="1440"/>
        <w:jc w:val="both"/>
        <w:rPr>
          <w:rFonts w:ascii="Verdana" w:hAnsi="Verdana"/>
          <w:b/>
          <w:sz w:val="24"/>
        </w:rPr>
      </w:pPr>
    </w:p>
    <w:p w:rsidR="00B86D6F" w:rsidRDefault="00B86D6F" w:rsidP="00B86D6F">
      <w:pPr>
        <w:ind w:left="1440"/>
        <w:jc w:val="both"/>
        <w:rPr>
          <w:rFonts w:ascii="Verdana" w:hAnsi="Verdana"/>
          <w:b/>
          <w:sz w:val="24"/>
        </w:rPr>
      </w:pPr>
    </w:p>
    <w:p w:rsidR="00B86D6F" w:rsidRDefault="00B86D6F" w:rsidP="00B86D6F">
      <w:pPr>
        <w:ind w:left="1440"/>
        <w:jc w:val="both"/>
        <w:rPr>
          <w:rFonts w:ascii="Verdana" w:hAnsi="Verdana"/>
          <w:b/>
          <w:sz w:val="24"/>
        </w:rPr>
      </w:pPr>
    </w:p>
    <w:p w:rsidR="00B86D6F" w:rsidRDefault="00B86D6F" w:rsidP="00B86D6F">
      <w:pPr>
        <w:ind w:left="1440"/>
        <w:jc w:val="both"/>
        <w:rPr>
          <w:rFonts w:ascii="Verdana" w:hAnsi="Verdana"/>
          <w:b/>
          <w:sz w:val="24"/>
        </w:rPr>
      </w:pPr>
    </w:p>
    <w:p w:rsidR="00B86D6F" w:rsidRDefault="00B86D6F" w:rsidP="00B86D6F">
      <w:pPr>
        <w:ind w:left="1440"/>
        <w:jc w:val="both"/>
        <w:rPr>
          <w:rFonts w:ascii="Verdana" w:hAnsi="Verdana"/>
          <w:b/>
          <w:sz w:val="24"/>
        </w:rPr>
      </w:pPr>
    </w:p>
    <w:p w:rsidR="00B86D6F" w:rsidRDefault="00B86D6F" w:rsidP="00B86D6F">
      <w:pPr>
        <w:ind w:left="1440"/>
        <w:jc w:val="both"/>
        <w:rPr>
          <w:rFonts w:ascii="Verdana" w:hAnsi="Verdana"/>
          <w:b/>
          <w:sz w:val="24"/>
        </w:rPr>
      </w:pPr>
    </w:p>
    <w:p w:rsidR="00B86D6F" w:rsidRDefault="00B86D6F" w:rsidP="00B86D6F">
      <w:pPr>
        <w:ind w:left="1440"/>
        <w:jc w:val="both"/>
        <w:rPr>
          <w:rFonts w:ascii="Verdana" w:hAnsi="Verdana"/>
          <w:b/>
          <w:sz w:val="24"/>
        </w:rPr>
      </w:pPr>
    </w:p>
    <w:p w:rsidR="00B86D6F" w:rsidRDefault="00B86D6F" w:rsidP="00B86D6F">
      <w:pPr>
        <w:ind w:left="1440"/>
        <w:jc w:val="both"/>
        <w:rPr>
          <w:rFonts w:ascii="Verdana" w:hAnsi="Verdana"/>
          <w:b/>
          <w:sz w:val="24"/>
        </w:rPr>
      </w:pPr>
    </w:p>
    <w:p w:rsidR="00B86D6F" w:rsidRPr="00664F41" w:rsidRDefault="00B86D6F" w:rsidP="00B86D6F">
      <w:pPr>
        <w:jc w:val="both"/>
        <w:rPr>
          <w:rFonts w:ascii="Verdana" w:hAnsi="Verdana"/>
          <w:b/>
          <w:sz w:val="32"/>
          <w:szCs w:val="32"/>
        </w:rPr>
      </w:pPr>
      <w:r w:rsidRPr="00664F41">
        <w:rPr>
          <w:rFonts w:ascii="Verdana" w:hAnsi="Verdana"/>
          <w:b/>
          <w:sz w:val="32"/>
          <w:szCs w:val="32"/>
        </w:rPr>
        <w:lastRenderedPageBreak/>
        <w:t xml:space="preserve">The World Trade Organisation </w:t>
      </w:r>
      <w:proofErr w:type="gramStart"/>
      <w:r w:rsidRPr="00664F41">
        <w:rPr>
          <w:rFonts w:ascii="Verdana" w:hAnsi="Verdana"/>
          <w:b/>
          <w:sz w:val="32"/>
          <w:szCs w:val="32"/>
        </w:rPr>
        <w:t>( WTO</w:t>
      </w:r>
      <w:proofErr w:type="gramEnd"/>
      <w:r w:rsidRPr="00664F41">
        <w:rPr>
          <w:rFonts w:ascii="Verdana" w:hAnsi="Verdana"/>
          <w:b/>
          <w:sz w:val="32"/>
          <w:szCs w:val="32"/>
        </w:rPr>
        <w:t xml:space="preserve">) </w:t>
      </w:r>
    </w:p>
    <w:p w:rsidR="00B86D6F" w:rsidRDefault="00B86D6F" w:rsidP="00B86D6F">
      <w:pPr>
        <w:ind w:left="1440"/>
        <w:jc w:val="both"/>
        <w:rPr>
          <w:rFonts w:ascii="Verdana" w:hAnsi="Verdana"/>
          <w:sz w:val="24"/>
        </w:rPr>
      </w:pPr>
    </w:p>
    <w:p w:rsidR="00B86D6F" w:rsidRPr="006D5431" w:rsidRDefault="00B86D6F" w:rsidP="00B86D6F">
      <w:pPr>
        <w:ind w:left="1440"/>
        <w:jc w:val="both"/>
        <w:rPr>
          <w:rFonts w:ascii="Verdana" w:hAnsi="Verdana"/>
          <w:sz w:val="24"/>
        </w:rPr>
      </w:pPr>
      <w:r w:rsidRPr="006D5431">
        <w:rPr>
          <w:rFonts w:ascii="Verdana" w:hAnsi="Verdana"/>
          <w:sz w:val="24"/>
        </w:rPr>
        <w:t xml:space="preserve"> </w:t>
      </w:r>
    </w:p>
    <w:p w:rsidR="00B86D6F" w:rsidRPr="006D5431" w:rsidRDefault="00B86D6F" w:rsidP="00B86D6F">
      <w:pPr>
        <w:jc w:val="both"/>
        <w:rPr>
          <w:rFonts w:ascii="Verdana" w:hAnsi="Verdana"/>
          <w:sz w:val="24"/>
        </w:rPr>
      </w:pPr>
      <w:r w:rsidRPr="006D5431">
        <w:rPr>
          <w:rFonts w:ascii="Verdana" w:hAnsi="Verdana"/>
          <w:sz w:val="24"/>
        </w:rPr>
        <w:t>Website:</w:t>
      </w:r>
    </w:p>
    <w:p w:rsidR="00B86D6F" w:rsidRPr="006D5431" w:rsidRDefault="00213982" w:rsidP="00B86D6F">
      <w:pPr>
        <w:jc w:val="both"/>
        <w:rPr>
          <w:rFonts w:ascii="Verdana" w:hAnsi="Verdana"/>
          <w:sz w:val="24"/>
        </w:rPr>
      </w:pPr>
      <w:hyperlink r:id="rId7" w:history="1">
        <w:r w:rsidR="00B86D6F" w:rsidRPr="006D5431">
          <w:rPr>
            <w:rStyle w:val="Hyperlink"/>
            <w:rFonts w:ascii="Verdana" w:hAnsi="Verdana"/>
            <w:sz w:val="24"/>
          </w:rPr>
          <w:t>http://www.wto.org/english/thewto_e/whatis_e/inbrief_e/inbr01_e.htm</w:t>
        </w:r>
      </w:hyperlink>
      <w:r w:rsidR="00B86D6F" w:rsidRPr="006D5431">
        <w:rPr>
          <w:rFonts w:ascii="Verdana" w:hAnsi="Verdana"/>
          <w:sz w:val="24"/>
        </w:rPr>
        <w:t xml:space="preserve"> </w:t>
      </w:r>
    </w:p>
    <w:p w:rsidR="00B86D6F" w:rsidRDefault="00B86D6F" w:rsidP="00B86D6F">
      <w:pPr>
        <w:tabs>
          <w:tab w:val="left" w:pos="405"/>
          <w:tab w:val="right" w:pos="8127"/>
        </w:tabs>
        <w:jc w:val="both"/>
        <w:rPr>
          <w:rFonts w:ascii="Verdana" w:hAnsi="Verdana"/>
          <w:sz w:val="24"/>
        </w:rPr>
      </w:pPr>
    </w:p>
    <w:p w:rsidR="00B86D6F" w:rsidRDefault="00B86D6F" w:rsidP="00B86D6F">
      <w:pPr>
        <w:tabs>
          <w:tab w:val="left" w:pos="405"/>
          <w:tab w:val="right" w:pos="8127"/>
        </w:tabs>
        <w:jc w:val="both"/>
        <w:rPr>
          <w:rFonts w:ascii="Verdana" w:hAnsi="Verdana"/>
          <w:sz w:val="24"/>
        </w:rPr>
      </w:pPr>
    </w:p>
    <w:p w:rsidR="00B86D6F" w:rsidRDefault="00B86D6F" w:rsidP="00B86D6F">
      <w:pPr>
        <w:tabs>
          <w:tab w:val="left" w:pos="405"/>
          <w:tab w:val="right" w:pos="8127"/>
        </w:tabs>
        <w:jc w:val="both"/>
        <w:rPr>
          <w:rFonts w:ascii="Verdana" w:hAnsi="Verdana"/>
          <w:sz w:val="24"/>
        </w:rPr>
      </w:pPr>
    </w:p>
    <w:p w:rsidR="00B86D6F" w:rsidRPr="006D5431" w:rsidRDefault="00B86D6F" w:rsidP="00B86D6F">
      <w:pPr>
        <w:tabs>
          <w:tab w:val="left" w:pos="405"/>
          <w:tab w:val="right" w:pos="8127"/>
        </w:tabs>
        <w:jc w:val="both"/>
        <w:rPr>
          <w:rFonts w:ascii="Verdana" w:hAnsi="Verdana"/>
          <w:b/>
          <w:sz w:val="24"/>
        </w:rPr>
      </w:pPr>
      <w:r w:rsidRPr="006D5431">
        <w:rPr>
          <w:rFonts w:ascii="Verdana" w:hAnsi="Verdana"/>
          <w:b/>
          <w:sz w:val="24"/>
        </w:rPr>
        <w:t>History</w:t>
      </w:r>
    </w:p>
    <w:p w:rsidR="00B86D6F" w:rsidRDefault="00B86D6F" w:rsidP="00B86D6F">
      <w:pPr>
        <w:tabs>
          <w:tab w:val="left" w:pos="405"/>
          <w:tab w:val="right" w:pos="8127"/>
        </w:tabs>
        <w:jc w:val="both"/>
        <w:rPr>
          <w:rFonts w:ascii="Verdana" w:hAnsi="Verdana"/>
          <w:sz w:val="24"/>
        </w:rPr>
      </w:pPr>
    </w:p>
    <w:p w:rsidR="00B86D6F" w:rsidRPr="006D5431" w:rsidRDefault="00B86D6F" w:rsidP="00B86D6F">
      <w:pPr>
        <w:tabs>
          <w:tab w:val="left" w:pos="405"/>
          <w:tab w:val="right" w:pos="8127"/>
        </w:tabs>
        <w:jc w:val="both"/>
        <w:rPr>
          <w:rFonts w:ascii="Verdana" w:hAnsi="Verdana"/>
          <w:sz w:val="24"/>
          <w:u w:val="single"/>
        </w:rPr>
      </w:pPr>
      <w:r w:rsidRPr="006D5431">
        <w:rPr>
          <w:rFonts w:ascii="Verdana" w:hAnsi="Verdana"/>
          <w:sz w:val="24"/>
        </w:rPr>
        <w:t xml:space="preserve">States use treaties to create law between them and other States. In this context the most important treaties are those relating to the WTO. </w:t>
      </w:r>
    </w:p>
    <w:p w:rsidR="00B86D6F" w:rsidRDefault="00B86D6F" w:rsidP="00B86D6F">
      <w:pPr>
        <w:pStyle w:val="Heading2"/>
        <w:spacing w:before="0" w:beforeAutospacing="0" w:after="0" w:afterAutospacing="0"/>
        <w:jc w:val="both"/>
        <w:rPr>
          <w:rFonts w:ascii="Verdana" w:hAnsi="Verdana" w:cs="Arial"/>
          <w:b w:val="0"/>
          <w:bCs w:val="0"/>
          <w:sz w:val="24"/>
          <w:szCs w:val="24"/>
        </w:rPr>
      </w:pPr>
    </w:p>
    <w:p w:rsidR="00B86D6F" w:rsidRDefault="00B86D6F" w:rsidP="00B86D6F">
      <w:pPr>
        <w:pStyle w:val="Heading2"/>
        <w:spacing w:before="0" w:beforeAutospacing="0" w:after="0" w:afterAutospacing="0"/>
        <w:jc w:val="both"/>
        <w:rPr>
          <w:rFonts w:ascii="Verdana" w:hAnsi="Verdana" w:cs="Arial"/>
          <w:b w:val="0"/>
          <w:bCs w:val="0"/>
          <w:sz w:val="24"/>
          <w:szCs w:val="24"/>
        </w:rPr>
      </w:pPr>
    </w:p>
    <w:p w:rsidR="00B86D6F" w:rsidRPr="006D5431" w:rsidRDefault="00B86D6F" w:rsidP="00B86D6F">
      <w:pPr>
        <w:pStyle w:val="Heading2"/>
        <w:spacing w:before="0" w:beforeAutospacing="0" w:after="0" w:afterAutospacing="0"/>
        <w:jc w:val="both"/>
        <w:rPr>
          <w:rFonts w:ascii="Verdana" w:hAnsi="Verdana" w:cs="Arial"/>
          <w:b w:val="0"/>
          <w:bCs w:val="0"/>
          <w:sz w:val="24"/>
          <w:szCs w:val="24"/>
        </w:rPr>
      </w:pPr>
      <w:r w:rsidRPr="006D5431">
        <w:rPr>
          <w:rFonts w:ascii="Verdana" w:hAnsi="Verdana" w:cs="Arial"/>
          <w:b w:val="0"/>
          <w:bCs w:val="0"/>
          <w:sz w:val="24"/>
          <w:szCs w:val="24"/>
        </w:rPr>
        <w:t>Landmarks</w:t>
      </w:r>
    </w:p>
    <w:p w:rsidR="00B86D6F" w:rsidRDefault="00B86D6F" w:rsidP="00B86D6F">
      <w:pPr>
        <w:pStyle w:val="Heading2"/>
        <w:spacing w:before="0" w:beforeAutospacing="0" w:after="0" w:afterAutospacing="0"/>
        <w:ind w:left="2880" w:hanging="1440"/>
        <w:jc w:val="both"/>
        <w:rPr>
          <w:rFonts w:ascii="Verdana" w:hAnsi="Verdana" w:cs="Arial"/>
          <w:b w:val="0"/>
          <w:bCs w:val="0"/>
          <w:sz w:val="24"/>
          <w:szCs w:val="24"/>
        </w:rPr>
      </w:pPr>
    </w:p>
    <w:p w:rsidR="00B86D6F" w:rsidRPr="006D5431" w:rsidRDefault="00B86D6F" w:rsidP="00B86D6F">
      <w:pPr>
        <w:pStyle w:val="Heading2"/>
        <w:spacing w:before="0" w:beforeAutospacing="0" w:after="0" w:afterAutospacing="0"/>
        <w:ind w:left="1440" w:hanging="1440"/>
        <w:jc w:val="both"/>
        <w:rPr>
          <w:rFonts w:ascii="Verdana" w:hAnsi="Verdana" w:cs="Arial"/>
          <w:b w:val="0"/>
          <w:bCs w:val="0"/>
          <w:sz w:val="24"/>
          <w:szCs w:val="24"/>
        </w:rPr>
      </w:pPr>
      <w:r w:rsidRPr="006D5431">
        <w:rPr>
          <w:rFonts w:ascii="Verdana" w:hAnsi="Verdana" w:cs="Arial"/>
          <w:b w:val="0"/>
          <w:bCs w:val="0"/>
          <w:sz w:val="24"/>
          <w:szCs w:val="24"/>
        </w:rPr>
        <w:t>1948:</w:t>
      </w:r>
      <w:r>
        <w:rPr>
          <w:rFonts w:ascii="Verdana" w:hAnsi="Verdana" w:cs="Arial"/>
          <w:b w:val="0"/>
          <w:bCs w:val="0"/>
          <w:sz w:val="24"/>
          <w:szCs w:val="24"/>
        </w:rPr>
        <w:t xml:space="preserve">      </w:t>
      </w:r>
      <w:r w:rsidRPr="006D5431">
        <w:rPr>
          <w:rFonts w:ascii="Verdana" w:hAnsi="Verdana" w:cs="Arial"/>
          <w:b w:val="0"/>
          <w:bCs w:val="0"/>
          <w:sz w:val="24"/>
          <w:szCs w:val="24"/>
        </w:rPr>
        <w:t>50 countries agree a draft Charter for an International Trade Organization (ITO) - a new specialized agency of the United Nations - which was still-born, mainly because of US opposition, but 23 countries established a “provisional” agreement – GATT (the “General Agreement on Tariffs and Trade”).</w:t>
      </w:r>
    </w:p>
    <w:p w:rsidR="00B86D6F" w:rsidRPr="006D5431" w:rsidRDefault="00B86D6F" w:rsidP="00B86D6F">
      <w:pPr>
        <w:pStyle w:val="Heading2"/>
        <w:spacing w:before="0" w:beforeAutospacing="0" w:after="0" w:afterAutospacing="0"/>
        <w:ind w:left="2880" w:hanging="1440"/>
        <w:jc w:val="both"/>
        <w:rPr>
          <w:rFonts w:ascii="Verdana" w:hAnsi="Verdana" w:cs="Arial"/>
          <w:b w:val="0"/>
          <w:bCs w:val="0"/>
          <w:sz w:val="24"/>
          <w:szCs w:val="24"/>
        </w:rPr>
      </w:pPr>
    </w:p>
    <w:p w:rsidR="00B86D6F" w:rsidRPr="006D5431" w:rsidRDefault="00B86D6F" w:rsidP="00B86D6F">
      <w:pPr>
        <w:snapToGrid w:val="0"/>
        <w:ind w:left="1440"/>
        <w:jc w:val="both"/>
        <w:rPr>
          <w:rFonts w:ascii="Verdana" w:hAnsi="Verdana"/>
          <w:bCs/>
          <w:sz w:val="24"/>
        </w:rPr>
      </w:pPr>
      <w:r w:rsidRPr="006D5431">
        <w:rPr>
          <w:rFonts w:ascii="Verdana" w:hAnsi="Verdana"/>
          <w:sz w:val="24"/>
        </w:rPr>
        <w:t xml:space="preserve">The General Agreement on Tariffs and Trade (GATT) covers international trade in goods. The workings of the GATT Agreement are now the responsibility of the WTO Council for Trade in Goods (Goods Council).  </w:t>
      </w:r>
    </w:p>
    <w:p w:rsidR="00B86D6F" w:rsidRDefault="00B86D6F" w:rsidP="00B86D6F">
      <w:pPr>
        <w:pStyle w:val="NormalWeb"/>
        <w:spacing w:before="0" w:beforeAutospacing="0" w:after="0" w:afterAutospacing="0"/>
        <w:ind w:left="2160"/>
        <w:jc w:val="both"/>
        <w:rPr>
          <w:rFonts w:ascii="Verdana" w:hAnsi="Verdana" w:cs="Arial"/>
        </w:rPr>
      </w:pPr>
    </w:p>
    <w:p w:rsidR="00B86D6F" w:rsidRDefault="00B86D6F" w:rsidP="00B86D6F">
      <w:pPr>
        <w:pStyle w:val="NormalWeb"/>
        <w:spacing w:before="0" w:beforeAutospacing="0" w:after="0" w:afterAutospacing="0"/>
        <w:ind w:left="2160"/>
        <w:jc w:val="both"/>
        <w:rPr>
          <w:rFonts w:ascii="Verdana" w:hAnsi="Verdana" w:cs="Arial"/>
        </w:rPr>
      </w:pPr>
    </w:p>
    <w:p w:rsidR="00B86D6F" w:rsidRPr="006D5431" w:rsidRDefault="00B86D6F" w:rsidP="00B86D6F">
      <w:pPr>
        <w:pStyle w:val="NormalWeb"/>
        <w:spacing w:before="0" w:beforeAutospacing="0" w:after="0" w:afterAutospacing="0"/>
        <w:ind w:left="2160"/>
        <w:jc w:val="both"/>
        <w:rPr>
          <w:rFonts w:ascii="Verdana" w:hAnsi="Verdana" w:cs="Arial"/>
        </w:rPr>
      </w:pPr>
    </w:p>
    <w:p w:rsidR="00B86D6F" w:rsidRDefault="00B86D6F" w:rsidP="00B86D6F">
      <w:pPr>
        <w:pStyle w:val="NormalWeb"/>
        <w:spacing w:before="0" w:beforeAutospacing="0" w:after="0" w:afterAutospacing="0"/>
        <w:jc w:val="both"/>
        <w:rPr>
          <w:rFonts w:ascii="Verdana" w:hAnsi="Verdana" w:cs="Arial"/>
        </w:rPr>
      </w:pPr>
      <w:r w:rsidRPr="006D5431">
        <w:rPr>
          <w:rFonts w:ascii="Verdana" w:hAnsi="Verdana" w:cs="Arial"/>
        </w:rPr>
        <w:t>1947-1994:</w:t>
      </w:r>
      <w:r w:rsidRPr="006D5431">
        <w:rPr>
          <w:rFonts w:ascii="Verdana" w:hAnsi="Verdana" w:cs="Arial"/>
        </w:rPr>
        <w:tab/>
      </w:r>
      <w:r>
        <w:rPr>
          <w:rFonts w:ascii="Verdana" w:hAnsi="Verdana" w:cs="Arial"/>
        </w:rPr>
        <w:t xml:space="preserve"> </w:t>
      </w:r>
      <w:r w:rsidRPr="006D5431">
        <w:rPr>
          <w:rFonts w:ascii="Verdana" w:hAnsi="Verdana" w:cs="Arial"/>
        </w:rPr>
        <w:t xml:space="preserve">“trade rounds” (i.e. multilateral negotiations, e.g. 1964-67, </w:t>
      </w:r>
      <w:r>
        <w:rPr>
          <w:rFonts w:ascii="Verdana" w:hAnsi="Verdana" w:cs="Arial"/>
        </w:rPr>
        <w:t xml:space="preserve"> </w:t>
      </w:r>
    </w:p>
    <w:p w:rsidR="00B86D6F" w:rsidRDefault="00B86D6F" w:rsidP="00B86D6F">
      <w:pPr>
        <w:pStyle w:val="NormalWeb"/>
        <w:spacing w:before="0" w:beforeAutospacing="0" w:after="0" w:afterAutospacing="0"/>
        <w:jc w:val="both"/>
        <w:rPr>
          <w:rFonts w:ascii="Verdana" w:hAnsi="Verdana" w:cs="Arial"/>
        </w:rPr>
      </w:pPr>
      <w:r>
        <w:rPr>
          <w:rFonts w:ascii="Verdana" w:hAnsi="Verdana" w:cs="Arial"/>
        </w:rPr>
        <w:t xml:space="preserve">                  </w:t>
      </w:r>
      <w:proofErr w:type="gramStart"/>
      <w:r w:rsidRPr="006D5431">
        <w:rPr>
          <w:rFonts w:ascii="Verdana" w:hAnsi="Verdana" w:cs="Arial"/>
        </w:rPr>
        <w:t>the</w:t>
      </w:r>
      <w:proofErr w:type="gramEnd"/>
      <w:r w:rsidRPr="006D5431">
        <w:rPr>
          <w:rFonts w:ascii="Verdana" w:hAnsi="Verdana" w:cs="Arial"/>
        </w:rPr>
        <w:t xml:space="preserve"> “Kennedy Round” (62 countries) and 1986-94, the </w:t>
      </w:r>
      <w:r>
        <w:rPr>
          <w:rFonts w:ascii="Verdana" w:hAnsi="Verdana" w:cs="Arial"/>
        </w:rPr>
        <w:t xml:space="preserve"> </w:t>
      </w:r>
    </w:p>
    <w:p w:rsidR="00B86D6F" w:rsidRDefault="00B86D6F" w:rsidP="00B86D6F">
      <w:pPr>
        <w:pStyle w:val="NormalWeb"/>
        <w:spacing w:before="0" w:beforeAutospacing="0" w:after="0" w:afterAutospacing="0"/>
        <w:jc w:val="both"/>
        <w:rPr>
          <w:rFonts w:ascii="Verdana" w:hAnsi="Verdana" w:cs="Arial"/>
        </w:rPr>
      </w:pPr>
      <w:r>
        <w:rPr>
          <w:rFonts w:ascii="Verdana" w:hAnsi="Verdana" w:cs="Arial"/>
        </w:rPr>
        <w:t xml:space="preserve">                  </w:t>
      </w:r>
      <w:r w:rsidRPr="006D5431">
        <w:rPr>
          <w:rFonts w:ascii="Verdana" w:hAnsi="Verdana" w:cs="Arial"/>
        </w:rPr>
        <w:t xml:space="preserve">“Uruguay Round” (123 countries)) resulted in major tariff </w:t>
      </w:r>
    </w:p>
    <w:p w:rsidR="00B86D6F" w:rsidRPr="006D5431" w:rsidRDefault="00B86D6F" w:rsidP="00B86D6F">
      <w:pPr>
        <w:pStyle w:val="NormalWeb"/>
        <w:spacing w:before="0" w:beforeAutospacing="0" w:after="0" w:afterAutospacing="0"/>
        <w:jc w:val="both"/>
        <w:rPr>
          <w:rFonts w:ascii="Verdana" w:hAnsi="Verdana" w:cs="Arial"/>
        </w:rPr>
      </w:pPr>
      <w:r>
        <w:rPr>
          <w:rFonts w:ascii="Verdana" w:hAnsi="Verdana" w:cs="Arial"/>
        </w:rPr>
        <w:t xml:space="preserve">                   </w:t>
      </w:r>
      <w:proofErr w:type="gramStart"/>
      <w:r w:rsidRPr="006D5431">
        <w:rPr>
          <w:rFonts w:ascii="Verdana" w:hAnsi="Verdana" w:cs="Arial"/>
        </w:rPr>
        <w:t>reductions</w:t>
      </w:r>
      <w:proofErr w:type="gramEnd"/>
      <w:r w:rsidRPr="006D5431">
        <w:rPr>
          <w:rFonts w:ascii="Verdana" w:hAnsi="Verdana" w:cs="Arial"/>
        </w:rPr>
        <w:t xml:space="preserve">. </w:t>
      </w:r>
    </w:p>
    <w:p w:rsidR="00B86D6F" w:rsidRDefault="00B86D6F" w:rsidP="00B86D6F">
      <w:pPr>
        <w:pStyle w:val="Heading2"/>
        <w:spacing w:before="0" w:beforeAutospacing="0" w:after="0" w:afterAutospacing="0"/>
        <w:jc w:val="both"/>
        <w:rPr>
          <w:rFonts w:ascii="Verdana" w:hAnsi="Verdana" w:cs="Arial"/>
          <w:b w:val="0"/>
          <w:bCs w:val="0"/>
          <w:sz w:val="24"/>
          <w:szCs w:val="24"/>
        </w:rPr>
      </w:pPr>
    </w:p>
    <w:p w:rsidR="00B86D6F" w:rsidRDefault="00B86D6F" w:rsidP="00B86D6F">
      <w:pPr>
        <w:pStyle w:val="Heading2"/>
        <w:spacing w:before="0" w:beforeAutospacing="0" w:after="0" w:afterAutospacing="0"/>
        <w:jc w:val="both"/>
        <w:rPr>
          <w:rFonts w:ascii="Verdana" w:hAnsi="Verdana" w:cs="Arial"/>
          <w:b w:val="0"/>
          <w:bCs w:val="0"/>
          <w:sz w:val="24"/>
          <w:szCs w:val="24"/>
        </w:rPr>
      </w:pPr>
    </w:p>
    <w:p w:rsidR="00B86D6F" w:rsidRDefault="00B86D6F" w:rsidP="00B86D6F">
      <w:pPr>
        <w:pStyle w:val="Heading2"/>
        <w:spacing w:before="0" w:beforeAutospacing="0" w:after="0" w:afterAutospacing="0"/>
        <w:jc w:val="both"/>
        <w:rPr>
          <w:rFonts w:ascii="Verdana" w:hAnsi="Verdana" w:cs="Arial"/>
          <w:b w:val="0"/>
          <w:bCs w:val="0"/>
          <w:sz w:val="24"/>
          <w:szCs w:val="24"/>
        </w:rPr>
      </w:pPr>
    </w:p>
    <w:p w:rsidR="00B86D6F" w:rsidRDefault="00B86D6F" w:rsidP="00B86D6F">
      <w:pPr>
        <w:pStyle w:val="Heading2"/>
        <w:spacing w:before="0" w:beforeAutospacing="0" w:after="0" w:afterAutospacing="0"/>
        <w:jc w:val="both"/>
        <w:rPr>
          <w:rFonts w:ascii="Verdana" w:hAnsi="Verdana" w:cs="Arial"/>
          <w:b w:val="0"/>
          <w:bCs w:val="0"/>
          <w:sz w:val="24"/>
          <w:szCs w:val="24"/>
        </w:rPr>
      </w:pPr>
      <w:r w:rsidRPr="006D5431">
        <w:rPr>
          <w:rFonts w:ascii="Verdana" w:hAnsi="Verdana" w:cs="Arial"/>
          <w:b w:val="0"/>
          <w:bCs w:val="0"/>
          <w:sz w:val="24"/>
          <w:szCs w:val="24"/>
        </w:rPr>
        <w:t>1964-1994:</w:t>
      </w:r>
      <w:r>
        <w:rPr>
          <w:rFonts w:ascii="Verdana" w:hAnsi="Verdana" w:cs="Arial"/>
          <w:b w:val="0"/>
          <w:bCs w:val="0"/>
          <w:sz w:val="24"/>
          <w:szCs w:val="24"/>
        </w:rPr>
        <w:t xml:space="preserve">  </w:t>
      </w:r>
      <w:r w:rsidRPr="006D5431">
        <w:rPr>
          <w:rFonts w:ascii="Verdana" w:hAnsi="Verdana" w:cs="Arial"/>
          <w:b w:val="0"/>
          <w:bCs w:val="0"/>
          <w:sz w:val="24"/>
          <w:szCs w:val="24"/>
        </w:rPr>
        <w:t xml:space="preserve">a series of agreements on </w:t>
      </w:r>
      <w:r w:rsidRPr="006D5431">
        <w:rPr>
          <w:rFonts w:ascii="Verdana" w:hAnsi="Verdana" w:cs="Arial"/>
          <w:b w:val="0"/>
          <w:bCs w:val="0"/>
          <w:sz w:val="24"/>
          <w:szCs w:val="24"/>
          <w:u w:val="single"/>
        </w:rPr>
        <w:t>non-tariff</w:t>
      </w:r>
      <w:r w:rsidRPr="006D5431">
        <w:rPr>
          <w:rFonts w:ascii="Verdana" w:hAnsi="Verdana" w:cs="Arial"/>
          <w:b w:val="0"/>
          <w:bCs w:val="0"/>
          <w:sz w:val="24"/>
          <w:szCs w:val="24"/>
        </w:rPr>
        <w:t xml:space="preserve"> barriers emerge from </w:t>
      </w:r>
    </w:p>
    <w:p w:rsidR="00B86D6F" w:rsidRDefault="00B86D6F" w:rsidP="00B86D6F">
      <w:pPr>
        <w:pStyle w:val="Heading2"/>
        <w:spacing w:before="0" w:beforeAutospacing="0" w:after="0" w:afterAutospacing="0"/>
        <w:jc w:val="both"/>
        <w:rPr>
          <w:rFonts w:ascii="Verdana" w:hAnsi="Verdana" w:cs="Arial"/>
          <w:b w:val="0"/>
          <w:bCs w:val="0"/>
          <w:sz w:val="24"/>
          <w:szCs w:val="24"/>
        </w:rPr>
      </w:pPr>
      <w:r>
        <w:rPr>
          <w:rFonts w:ascii="Verdana" w:hAnsi="Verdana" w:cs="Arial"/>
          <w:b w:val="0"/>
          <w:bCs w:val="0"/>
          <w:sz w:val="24"/>
          <w:szCs w:val="24"/>
        </w:rPr>
        <w:t xml:space="preserve">                   </w:t>
      </w:r>
      <w:proofErr w:type="gramStart"/>
      <w:r w:rsidRPr="006D5431">
        <w:rPr>
          <w:rFonts w:ascii="Verdana" w:hAnsi="Verdana" w:cs="Arial"/>
          <w:b w:val="0"/>
          <w:bCs w:val="0"/>
          <w:sz w:val="24"/>
          <w:szCs w:val="24"/>
        </w:rPr>
        <w:t>later</w:t>
      </w:r>
      <w:proofErr w:type="gramEnd"/>
      <w:r w:rsidRPr="006D5431">
        <w:rPr>
          <w:rFonts w:ascii="Verdana" w:hAnsi="Verdana" w:cs="Arial"/>
          <w:b w:val="0"/>
          <w:bCs w:val="0"/>
          <w:sz w:val="24"/>
          <w:szCs w:val="24"/>
        </w:rPr>
        <w:t xml:space="preserve"> rounds, in some cases interpreting existing GATT </w:t>
      </w:r>
    </w:p>
    <w:p w:rsidR="00B86D6F" w:rsidRDefault="00B86D6F" w:rsidP="00B86D6F">
      <w:pPr>
        <w:pStyle w:val="Heading2"/>
        <w:spacing w:before="0" w:beforeAutospacing="0" w:after="0" w:afterAutospacing="0"/>
        <w:jc w:val="both"/>
        <w:rPr>
          <w:rFonts w:ascii="Verdana" w:hAnsi="Verdana" w:cs="Arial"/>
          <w:b w:val="0"/>
          <w:bCs w:val="0"/>
          <w:sz w:val="24"/>
          <w:szCs w:val="24"/>
        </w:rPr>
      </w:pPr>
      <w:r>
        <w:rPr>
          <w:rFonts w:ascii="Verdana" w:hAnsi="Verdana" w:cs="Arial"/>
          <w:b w:val="0"/>
          <w:bCs w:val="0"/>
          <w:sz w:val="24"/>
          <w:szCs w:val="24"/>
        </w:rPr>
        <w:t xml:space="preserve">                   </w:t>
      </w:r>
      <w:proofErr w:type="gramStart"/>
      <w:r w:rsidRPr="006D5431">
        <w:rPr>
          <w:rFonts w:ascii="Verdana" w:hAnsi="Verdana" w:cs="Arial"/>
          <w:b w:val="0"/>
          <w:bCs w:val="0"/>
          <w:sz w:val="24"/>
          <w:szCs w:val="24"/>
        </w:rPr>
        <w:t>rules</w:t>
      </w:r>
      <w:proofErr w:type="gramEnd"/>
      <w:r w:rsidRPr="006D5431">
        <w:rPr>
          <w:rFonts w:ascii="Verdana" w:hAnsi="Verdana" w:cs="Arial"/>
          <w:b w:val="0"/>
          <w:bCs w:val="0"/>
          <w:sz w:val="24"/>
          <w:szCs w:val="24"/>
        </w:rPr>
        <w:t xml:space="preserve">, in others breaking entirely new ground – e.g. on </w:t>
      </w:r>
    </w:p>
    <w:p w:rsidR="00B86D6F" w:rsidRDefault="00B86D6F" w:rsidP="00B86D6F">
      <w:pPr>
        <w:pStyle w:val="Heading2"/>
        <w:spacing w:before="0" w:beforeAutospacing="0" w:after="0" w:afterAutospacing="0"/>
        <w:jc w:val="both"/>
        <w:rPr>
          <w:rFonts w:ascii="Verdana" w:hAnsi="Verdana" w:cs="Arial"/>
          <w:b w:val="0"/>
          <w:bCs w:val="0"/>
          <w:iCs/>
          <w:sz w:val="24"/>
          <w:szCs w:val="24"/>
        </w:rPr>
      </w:pPr>
      <w:r>
        <w:rPr>
          <w:rFonts w:ascii="Verdana" w:hAnsi="Verdana" w:cs="Arial"/>
          <w:b w:val="0"/>
          <w:bCs w:val="0"/>
          <w:sz w:val="24"/>
          <w:szCs w:val="24"/>
        </w:rPr>
        <w:t xml:space="preserve">                   </w:t>
      </w:r>
      <w:r w:rsidRPr="006D5431">
        <w:rPr>
          <w:rFonts w:ascii="Verdana" w:hAnsi="Verdana" w:cs="Arial"/>
          <w:b w:val="0"/>
          <w:bCs w:val="0"/>
          <w:iCs/>
          <w:sz w:val="24"/>
          <w:szCs w:val="24"/>
        </w:rPr>
        <w:t xml:space="preserve">Technical barriers to trade (TBS), Health Measures (SPS), </w:t>
      </w:r>
    </w:p>
    <w:p w:rsidR="00B86D6F" w:rsidRDefault="00B86D6F" w:rsidP="00B86D6F">
      <w:pPr>
        <w:pStyle w:val="Heading2"/>
        <w:spacing w:before="0" w:beforeAutospacing="0" w:after="0" w:afterAutospacing="0"/>
        <w:jc w:val="both"/>
        <w:rPr>
          <w:rFonts w:ascii="Verdana" w:hAnsi="Verdana" w:cs="Arial"/>
          <w:b w:val="0"/>
          <w:bCs w:val="0"/>
          <w:sz w:val="24"/>
          <w:szCs w:val="24"/>
        </w:rPr>
      </w:pPr>
      <w:r>
        <w:rPr>
          <w:rFonts w:ascii="Verdana" w:hAnsi="Verdana" w:cs="Arial"/>
          <w:b w:val="0"/>
          <w:bCs w:val="0"/>
          <w:iCs/>
          <w:sz w:val="24"/>
          <w:szCs w:val="24"/>
        </w:rPr>
        <w:t xml:space="preserve">                   </w:t>
      </w:r>
      <w:proofErr w:type="gramStart"/>
      <w:r w:rsidRPr="006D5431">
        <w:rPr>
          <w:rFonts w:ascii="Verdana" w:hAnsi="Verdana" w:cs="Arial"/>
          <w:b w:val="0"/>
          <w:bCs w:val="0"/>
          <w:iCs/>
          <w:sz w:val="24"/>
          <w:szCs w:val="24"/>
        </w:rPr>
        <w:t>Government procurement</w:t>
      </w:r>
      <w:r w:rsidRPr="006D5431">
        <w:rPr>
          <w:rFonts w:ascii="Verdana" w:hAnsi="Verdana" w:cs="Arial"/>
          <w:b w:val="0"/>
          <w:bCs w:val="0"/>
          <w:sz w:val="24"/>
          <w:szCs w:val="24"/>
        </w:rPr>
        <w:t>, etc.</w:t>
      </w:r>
      <w:proofErr w:type="gramEnd"/>
      <w:r w:rsidRPr="006D5431">
        <w:rPr>
          <w:rFonts w:ascii="Verdana" w:hAnsi="Verdana" w:cs="Arial"/>
          <w:b w:val="0"/>
          <w:bCs w:val="0"/>
          <w:sz w:val="24"/>
          <w:szCs w:val="24"/>
        </w:rPr>
        <w:t xml:space="preserve">  In most cases, only a </w:t>
      </w:r>
    </w:p>
    <w:p w:rsidR="00B86D6F" w:rsidRDefault="00B86D6F" w:rsidP="00B86D6F">
      <w:pPr>
        <w:pStyle w:val="Heading2"/>
        <w:spacing w:before="0" w:beforeAutospacing="0" w:after="0" w:afterAutospacing="0"/>
        <w:jc w:val="both"/>
        <w:rPr>
          <w:rFonts w:ascii="Verdana" w:hAnsi="Verdana" w:cs="Arial"/>
          <w:b w:val="0"/>
          <w:bCs w:val="0"/>
          <w:sz w:val="24"/>
          <w:szCs w:val="24"/>
        </w:rPr>
      </w:pPr>
      <w:r>
        <w:rPr>
          <w:rFonts w:ascii="Verdana" w:hAnsi="Verdana" w:cs="Arial"/>
          <w:b w:val="0"/>
          <w:bCs w:val="0"/>
          <w:sz w:val="24"/>
          <w:szCs w:val="24"/>
        </w:rPr>
        <w:t xml:space="preserve">                   </w:t>
      </w:r>
      <w:proofErr w:type="gramStart"/>
      <w:r w:rsidRPr="006D5431">
        <w:rPr>
          <w:rFonts w:ascii="Verdana" w:hAnsi="Verdana" w:cs="Arial"/>
          <w:b w:val="0"/>
          <w:bCs w:val="0"/>
          <w:sz w:val="24"/>
          <w:szCs w:val="24"/>
        </w:rPr>
        <w:t>relatively</w:t>
      </w:r>
      <w:proofErr w:type="gramEnd"/>
      <w:r w:rsidRPr="006D5431">
        <w:rPr>
          <w:rFonts w:ascii="Verdana" w:hAnsi="Verdana" w:cs="Arial"/>
          <w:b w:val="0"/>
          <w:bCs w:val="0"/>
          <w:sz w:val="24"/>
          <w:szCs w:val="24"/>
        </w:rPr>
        <w:t xml:space="preserve"> small number of GATT members initially signed </w:t>
      </w:r>
    </w:p>
    <w:p w:rsidR="00B86D6F" w:rsidRPr="006D5431" w:rsidRDefault="00B86D6F" w:rsidP="00B86D6F">
      <w:pPr>
        <w:pStyle w:val="Heading2"/>
        <w:spacing w:before="0" w:beforeAutospacing="0" w:after="0" w:afterAutospacing="0"/>
        <w:jc w:val="both"/>
        <w:rPr>
          <w:rFonts w:ascii="Verdana" w:hAnsi="Verdana" w:cs="Arial"/>
          <w:b w:val="0"/>
          <w:bCs w:val="0"/>
          <w:sz w:val="24"/>
          <w:szCs w:val="24"/>
        </w:rPr>
      </w:pPr>
      <w:r>
        <w:rPr>
          <w:rFonts w:ascii="Verdana" w:hAnsi="Verdana" w:cs="Arial"/>
          <w:b w:val="0"/>
          <w:bCs w:val="0"/>
          <w:sz w:val="24"/>
          <w:szCs w:val="24"/>
        </w:rPr>
        <w:t xml:space="preserve">                   </w:t>
      </w:r>
      <w:proofErr w:type="gramStart"/>
      <w:r w:rsidRPr="006D5431">
        <w:rPr>
          <w:rFonts w:ascii="Verdana" w:hAnsi="Verdana" w:cs="Arial"/>
          <w:b w:val="0"/>
          <w:bCs w:val="0"/>
          <w:sz w:val="24"/>
          <w:szCs w:val="24"/>
        </w:rPr>
        <w:t>up</w:t>
      </w:r>
      <w:proofErr w:type="gramEnd"/>
      <w:r w:rsidRPr="006D5431">
        <w:rPr>
          <w:rFonts w:ascii="Verdana" w:hAnsi="Verdana" w:cs="Arial"/>
          <w:b w:val="0"/>
          <w:bCs w:val="0"/>
          <w:sz w:val="24"/>
          <w:szCs w:val="24"/>
        </w:rPr>
        <w:t xml:space="preserve"> to these agreements.</w:t>
      </w:r>
    </w:p>
    <w:p w:rsidR="00B86D6F" w:rsidRDefault="00B86D6F" w:rsidP="00B86D6F">
      <w:pPr>
        <w:pStyle w:val="Heading2"/>
        <w:spacing w:before="0" w:beforeAutospacing="0" w:after="0" w:afterAutospacing="0"/>
        <w:ind w:left="1440"/>
        <w:jc w:val="both"/>
        <w:rPr>
          <w:rFonts w:ascii="Verdana" w:hAnsi="Verdana" w:cs="Arial"/>
          <w:b w:val="0"/>
          <w:bCs w:val="0"/>
          <w:sz w:val="24"/>
          <w:szCs w:val="24"/>
        </w:rPr>
      </w:pPr>
    </w:p>
    <w:p w:rsidR="00B86D6F" w:rsidRDefault="00B86D6F" w:rsidP="00B86D6F">
      <w:pPr>
        <w:pStyle w:val="Heading2"/>
        <w:spacing w:before="0" w:beforeAutospacing="0" w:after="0" w:afterAutospacing="0"/>
        <w:ind w:left="1440"/>
        <w:jc w:val="both"/>
        <w:rPr>
          <w:rFonts w:ascii="Verdana" w:hAnsi="Verdana" w:cs="Arial"/>
          <w:b w:val="0"/>
          <w:bCs w:val="0"/>
          <w:sz w:val="24"/>
          <w:szCs w:val="24"/>
        </w:rPr>
      </w:pPr>
    </w:p>
    <w:p w:rsidR="00B86D6F" w:rsidRDefault="00B86D6F" w:rsidP="00B86D6F">
      <w:pPr>
        <w:pStyle w:val="Heading2"/>
        <w:spacing w:before="0" w:beforeAutospacing="0" w:after="0" w:afterAutospacing="0"/>
        <w:ind w:left="1440"/>
        <w:jc w:val="both"/>
        <w:rPr>
          <w:rFonts w:ascii="Verdana" w:hAnsi="Verdana" w:cs="Arial"/>
          <w:b w:val="0"/>
          <w:bCs w:val="0"/>
          <w:sz w:val="24"/>
          <w:szCs w:val="24"/>
        </w:rPr>
      </w:pPr>
    </w:p>
    <w:p w:rsidR="00B86D6F" w:rsidRPr="006D5431" w:rsidRDefault="00B86D6F" w:rsidP="00B86D6F">
      <w:pPr>
        <w:pStyle w:val="Heading2"/>
        <w:spacing w:before="0" w:beforeAutospacing="0" w:after="0" w:afterAutospacing="0"/>
        <w:ind w:left="1440" w:hanging="1440"/>
        <w:jc w:val="both"/>
        <w:rPr>
          <w:rFonts w:ascii="Verdana" w:hAnsi="Verdana" w:cs="Arial"/>
          <w:b w:val="0"/>
          <w:bCs w:val="0"/>
          <w:sz w:val="24"/>
          <w:szCs w:val="24"/>
        </w:rPr>
      </w:pPr>
      <w:r w:rsidRPr="006D5431">
        <w:rPr>
          <w:rFonts w:ascii="Verdana" w:hAnsi="Verdana" w:cs="Arial"/>
          <w:b w:val="0"/>
          <w:bCs w:val="0"/>
          <w:sz w:val="24"/>
          <w:szCs w:val="24"/>
        </w:rPr>
        <w:lastRenderedPageBreak/>
        <w:t>1994:</w:t>
      </w:r>
      <w:r w:rsidRPr="006D5431">
        <w:rPr>
          <w:rFonts w:ascii="Verdana" w:hAnsi="Verdana" w:cs="Arial"/>
          <w:b w:val="0"/>
          <w:bCs w:val="0"/>
          <w:sz w:val="24"/>
          <w:szCs w:val="24"/>
        </w:rPr>
        <w:tab/>
        <w:t>The WTO Agreements are signed (there are 6 main agreements and 50 lesser agreements).</w:t>
      </w:r>
      <w:r w:rsidRPr="006D5431">
        <w:rPr>
          <w:rFonts w:ascii="Verdana" w:hAnsi="Verdana"/>
          <w:b w:val="0"/>
          <w:sz w:val="24"/>
          <w:szCs w:val="24"/>
        </w:rPr>
        <w:t xml:space="preserve"> The negotiations continued after the end of the Uruguay Round. In February 1997 e.g. agreement was reached on telecommunications services, with 69 governments agreeing to wide-ranging liberalization measures that went beyond those agreed in the Uruguay Round. In the same year 40 governments successfully concluded negotiations for tariff-free trade in information technology products, and 70 members concluded a financial services deal covering more than 95% of trade in banking, insurance, securities and financial information.</w:t>
      </w:r>
    </w:p>
    <w:p w:rsidR="00B86D6F" w:rsidRDefault="00B86D6F" w:rsidP="00B86D6F">
      <w:pPr>
        <w:pStyle w:val="Heading2"/>
        <w:spacing w:before="0" w:beforeAutospacing="0" w:after="0" w:afterAutospacing="0"/>
        <w:ind w:left="2880" w:hanging="1440"/>
        <w:jc w:val="both"/>
        <w:rPr>
          <w:rFonts w:ascii="Verdana" w:hAnsi="Verdana" w:cs="Arial"/>
          <w:b w:val="0"/>
          <w:bCs w:val="0"/>
          <w:sz w:val="24"/>
          <w:szCs w:val="24"/>
        </w:rPr>
      </w:pPr>
    </w:p>
    <w:p w:rsidR="00B86D6F" w:rsidRDefault="00B86D6F" w:rsidP="00B86D6F">
      <w:pPr>
        <w:pStyle w:val="Heading2"/>
        <w:spacing w:before="0" w:beforeAutospacing="0" w:after="0" w:afterAutospacing="0"/>
        <w:ind w:left="2880" w:hanging="1440"/>
        <w:jc w:val="both"/>
        <w:rPr>
          <w:rFonts w:ascii="Verdana" w:hAnsi="Verdana" w:cs="Arial"/>
          <w:b w:val="0"/>
          <w:bCs w:val="0"/>
          <w:sz w:val="24"/>
          <w:szCs w:val="24"/>
        </w:rPr>
      </w:pPr>
    </w:p>
    <w:p w:rsidR="00B86D6F" w:rsidRPr="006D5431" w:rsidRDefault="00B86D6F" w:rsidP="00B86D6F">
      <w:pPr>
        <w:pStyle w:val="Heading2"/>
        <w:spacing w:before="0" w:beforeAutospacing="0" w:after="0" w:afterAutospacing="0"/>
        <w:ind w:left="2880" w:hanging="1440"/>
        <w:jc w:val="both"/>
        <w:rPr>
          <w:rFonts w:ascii="Verdana" w:hAnsi="Verdana" w:cs="Arial"/>
          <w:b w:val="0"/>
          <w:bCs w:val="0"/>
          <w:sz w:val="24"/>
          <w:szCs w:val="24"/>
        </w:rPr>
      </w:pPr>
    </w:p>
    <w:p w:rsidR="00B86D6F" w:rsidRPr="006D5431" w:rsidRDefault="00B86D6F" w:rsidP="00B86D6F">
      <w:pPr>
        <w:pStyle w:val="Heading2"/>
        <w:spacing w:before="0" w:beforeAutospacing="0" w:after="0" w:afterAutospacing="0"/>
        <w:ind w:left="1440" w:hanging="1440"/>
        <w:jc w:val="both"/>
        <w:rPr>
          <w:rFonts w:ascii="Verdana" w:eastAsia="Times New Roman" w:hAnsi="Verdana" w:cs="Arial"/>
          <w:b w:val="0"/>
          <w:bCs w:val="0"/>
          <w:sz w:val="24"/>
          <w:szCs w:val="24"/>
          <w:lang w:val="en-US"/>
        </w:rPr>
      </w:pPr>
      <w:r w:rsidRPr="006D5431">
        <w:rPr>
          <w:rFonts w:ascii="Verdana" w:hAnsi="Verdana" w:cs="Arial"/>
          <w:b w:val="0"/>
          <w:bCs w:val="0"/>
          <w:sz w:val="24"/>
          <w:szCs w:val="24"/>
        </w:rPr>
        <w:t>1994 -2006:</w:t>
      </w:r>
      <w:r>
        <w:rPr>
          <w:rFonts w:ascii="Verdana" w:hAnsi="Verdana" w:cs="Arial"/>
          <w:b w:val="0"/>
          <w:bCs w:val="0"/>
          <w:sz w:val="24"/>
          <w:szCs w:val="24"/>
        </w:rPr>
        <w:t xml:space="preserve"> </w:t>
      </w:r>
      <w:r w:rsidRPr="006D5431">
        <w:rPr>
          <w:rFonts w:ascii="Verdana" w:hAnsi="Verdana" w:cs="Arial"/>
          <w:b w:val="0"/>
          <w:bCs w:val="0"/>
          <w:sz w:val="24"/>
          <w:szCs w:val="24"/>
        </w:rPr>
        <w:t xml:space="preserve">negotiations continue (the implementing of existing agreements, renegotiating existing agreements or negotiating new ones); the “Doha” agenda </w:t>
      </w:r>
      <w:r w:rsidRPr="006D5431">
        <w:rPr>
          <w:rFonts w:ascii="Verdana" w:eastAsia="Times New Roman" w:hAnsi="Verdana" w:cs="Arial"/>
          <w:b w:val="0"/>
          <w:bCs w:val="0"/>
          <w:sz w:val="24"/>
          <w:szCs w:val="24"/>
        </w:rPr>
        <w:t>concerns, e.g.</w:t>
      </w:r>
      <w:r w:rsidRPr="006D5431">
        <w:rPr>
          <w:rFonts w:ascii="Verdana" w:eastAsia="Times New Roman" w:hAnsi="Verdana" w:cs="Arial"/>
          <w:b w:val="0"/>
          <w:bCs w:val="0"/>
          <w:sz w:val="24"/>
          <w:szCs w:val="24"/>
          <w:lang w:val="en-US"/>
        </w:rPr>
        <w:t>developing countries’ problems in implementing the current WTO Agreements; agriculture – market access and subsidies; etc., etc.</w:t>
      </w:r>
    </w:p>
    <w:p w:rsidR="00B86D6F" w:rsidRPr="006D5431" w:rsidRDefault="00B86D6F" w:rsidP="00B86D6F">
      <w:pPr>
        <w:pStyle w:val="Heading2"/>
        <w:spacing w:before="0" w:beforeAutospacing="0" w:after="0" w:afterAutospacing="0"/>
        <w:ind w:left="1440"/>
        <w:jc w:val="both"/>
        <w:rPr>
          <w:rFonts w:ascii="Verdana" w:eastAsia="Times New Roman" w:hAnsi="Verdana" w:cs="Arial"/>
          <w:b w:val="0"/>
          <w:bCs w:val="0"/>
          <w:sz w:val="24"/>
          <w:szCs w:val="24"/>
          <w:lang w:val="en-US"/>
        </w:rPr>
      </w:pPr>
    </w:p>
    <w:p w:rsidR="00B86D6F" w:rsidRPr="006D5431" w:rsidRDefault="00B86D6F" w:rsidP="00B86D6F">
      <w:pPr>
        <w:pStyle w:val="Heading2"/>
        <w:spacing w:before="0" w:beforeAutospacing="0" w:after="0" w:afterAutospacing="0"/>
        <w:ind w:left="1440"/>
        <w:jc w:val="both"/>
        <w:rPr>
          <w:rFonts w:ascii="Verdana" w:hAnsi="Verdana"/>
          <w:b w:val="0"/>
          <w:sz w:val="24"/>
          <w:szCs w:val="24"/>
          <w:lang w:val="en-US"/>
        </w:rPr>
      </w:pPr>
      <w:r w:rsidRPr="006D5431">
        <w:rPr>
          <w:rFonts w:ascii="Verdana" w:hAnsi="Verdana"/>
          <w:b w:val="0"/>
          <w:sz w:val="24"/>
          <w:szCs w:val="24"/>
          <w:lang w:val="en-US"/>
        </w:rPr>
        <w:t xml:space="preserve">The negotiations were not completed by the end of the original 2004 deadline (the failed </w:t>
      </w:r>
      <w:proofErr w:type="spellStart"/>
      <w:r w:rsidRPr="006D5431">
        <w:rPr>
          <w:rFonts w:ascii="Verdana" w:hAnsi="Verdana"/>
          <w:b w:val="0"/>
          <w:sz w:val="24"/>
          <w:szCs w:val="24"/>
          <w:lang w:val="en-US"/>
        </w:rPr>
        <w:t>Cancún</w:t>
      </w:r>
      <w:proofErr w:type="spellEnd"/>
      <w:r w:rsidRPr="006D5431">
        <w:rPr>
          <w:rFonts w:ascii="Verdana" w:hAnsi="Verdana"/>
          <w:b w:val="0"/>
          <w:sz w:val="24"/>
          <w:szCs w:val="24"/>
          <w:lang w:val="en-US"/>
        </w:rPr>
        <w:t xml:space="preserve"> conference); the next attempt failed to agree the Doha Agenda in </w:t>
      </w:r>
      <w:smartTag w:uri="urn:schemas-microsoft-com:office:smarttags" w:element="place">
        <w:r w:rsidRPr="006D5431">
          <w:rPr>
            <w:rFonts w:ascii="Verdana" w:hAnsi="Verdana"/>
            <w:b w:val="0"/>
            <w:sz w:val="24"/>
            <w:szCs w:val="24"/>
            <w:lang w:val="en-US"/>
          </w:rPr>
          <w:t>Hong Kong</w:t>
        </w:r>
      </w:smartTag>
      <w:r w:rsidRPr="006D5431">
        <w:rPr>
          <w:rFonts w:ascii="Verdana" w:hAnsi="Verdana"/>
          <w:b w:val="0"/>
          <w:sz w:val="24"/>
          <w:szCs w:val="24"/>
          <w:lang w:val="en-US"/>
        </w:rPr>
        <w:t xml:space="preserve"> in 2005. The latest deadline of December 2008 passed without significant progress. </w:t>
      </w:r>
    </w:p>
    <w:p w:rsidR="00B86D6F" w:rsidRPr="006D5431" w:rsidRDefault="00B86D6F" w:rsidP="00B86D6F">
      <w:pPr>
        <w:pStyle w:val="Heading2"/>
        <w:spacing w:before="0" w:beforeAutospacing="0" w:after="0" w:afterAutospacing="0"/>
        <w:ind w:left="1440"/>
        <w:jc w:val="both"/>
        <w:rPr>
          <w:rFonts w:ascii="Verdana" w:hAnsi="Verdana"/>
          <w:sz w:val="24"/>
          <w:szCs w:val="24"/>
        </w:rPr>
      </w:pPr>
    </w:p>
    <w:p w:rsidR="00B86D6F" w:rsidRPr="006D5431" w:rsidRDefault="00B86D6F" w:rsidP="00B86D6F">
      <w:pPr>
        <w:ind w:left="1440"/>
        <w:jc w:val="both"/>
        <w:rPr>
          <w:rFonts w:ascii="Verdana" w:hAnsi="Verdana"/>
          <w:sz w:val="24"/>
        </w:rPr>
      </w:pPr>
      <w:r w:rsidRPr="006D5431">
        <w:rPr>
          <w:rFonts w:ascii="Verdana" w:hAnsi="Verdana"/>
          <w:sz w:val="24"/>
        </w:rPr>
        <w:t>GATT was designed to provide an international forum that encouraged free trade between member states by regulating and reducing tariffs on traded goods and by providing a common mechanism for resolving trade disputes. All members of the WTO are signatories to GATT. Membership is now 153 countries (2009) and 29 countries have observer status.</w:t>
      </w:r>
    </w:p>
    <w:p w:rsidR="00B86D6F" w:rsidRDefault="00B86D6F" w:rsidP="00B86D6F">
      <w:pPr>
        <w:jc w:val="both"/>
        <w:rPr>
          <w:rFonts w:ascii="Verdana" w:hAnsi="Verdana"/>
          <w:sz w:val="24"/>
        </w:rPr>
      </w:pPr>
    </w:p>
    <w:p w:rsidR="00B86D6F" w:rsidRDefault="00B86D6F" w:rsidP="00B86D6F">
      <w:pPr>
        <w:jc w:val="both"/>
        <w:rPr>
          <w:rFonts w:ascii="Verdana" w:hAnsi="Verdana"/>
          <w:b/>
          <w:sz w:val="24"/>
        </w:rPr>
      </w:pPr>
    </w:p>
    <w:p w:rsidR="00B86D6F" w:rsidRDefault="00B86D6F" w:rsidP="00B86D6F">
      <w:pPr>
        <w:jc w:val="both"/>
        <w:rPr>
          <w:rFonts w:ascii="Verdana" w:hAnsi="Verdana"/>
          <w:b/>
          <w:sz w:val="24"/>
        </w:rPr>
      </w:pPr>
    </w:p>
    <w:p w:rsidR="00B86D6F" w:rsidRDefault="00B86D6F" w:rsidP="00B86D6F">
      <w:pPr>
        <w:jc w:val="both"/>
        <w:rPr>
          <w:rFonts w:ascii="Verdana" w:hAnsi="Verdana"/>
          <w:b/>
          <w:sz w:val="24"/>
        </w:rPr>
      </w:pPr>
    </w:p>
    <w:p w:rsidR="00B86D6F" w:rsidRDefault="00B86D6F" w:rsidP="00B86D6F">
      <w:pPr>
        <w:jc w:val="both"/>
        <w:rPr>
          <w:rFonts w:ascii="Verdana" w:hAnsi="Verdana"/>
          <w:b/>
          <w:sz w:val="24"/>
        </w:rPr>
      </w:pPr>
    </w:p>
    <w:p w:rsidR="00B86D6F" w:rsidRDefault="00B86D6F" w:rsidP="00B86D6F">
      <w:pPr>
        <w:jc w:val="both"/>
        <w:rPr>
          <w:rFonts w:ascii="Verdana" w:hAnsi="Verdana"/>
          <w:b/>
          <w:sz w:val="24"/>
        </w:rPr>
      </w:pPr>
    </w:p>
    <w:p w:rsidR="00B86D6F" w:rsidRDefault="00B86D6F" w:rsidP="00B86D6F">
      <w:pPr>
        <w:jc w:val="both"/>
        <w:rPr>
          <w:rFonts w:ascii="Verdana" w:hAnsi="Verdana"/>
          <w:b/>
          <w:sz w:val="24"/>
        </w:rPr>
      </w:pPr>
    </w:p>
    <w:p w:rsidR="00B86D6F" w:rsidRDefault="00B86D6F" w:rsidP="00B86D6F">
      <w:pPr>
        <w:jc w:val="both"/>
        <w:rPr>
          <w:rFonts w:ascii="Verdana" w:hAnsi="Verdana"/>
          <w:b/>
          <w:sz w:val="24"/>
        </w:rPr>
      </w:pPr>
    </w:p>
    <w:p w:rsidR="00B86D6F" w:rsidRDefault="00B86D6F" w:rsidP="00B86D6F">
      <w:pPr>
        <w:jc w:val="both"/>
        <w:rPr>
          <w:rFonts w:ascii="Verdana" w:hAnsi="Verdana"/>
          <w:b/>
          <w:sz w:val="24"/>
        </w:rPr>
      </w:pPr>
    </w:p>
    <w:p w:rsidR="00B86D6F" w:rsidRDefault="00B86D6F" w:rsidP="00B86D6F">
      <w:pPr>
        <w:jc w:val="both"/>
        <w:rPr>
          <w:rFonts w:ascii="Verdana" w:hAnsi="Verdana"/>
          <w:b/>
          <w:sz w:val="24"/>
        </w:rPr>
      </w:pPr>
    </w:p>
    <w:p w:rsidR="00B86D6F" w:rsidRDefault="00B86D6F" w:rsidP="00B86D6F">
      <w:pPr>
        <w:jc w:val="both"/>
        <w:rPr>
          <w:rFonts w:ascii="Verdana" w:hAnsi="Verdana"/>
          <w:b/>
          <w:sz w:val="24"/>
        </w:rPr>
      </w:pPr>
    </w:p>
    <w:p w:rsidR="00B86D6F" w:rsidRDefault="00B86D6F" w:rsidP="00B86D6F">
      <w:pPr>
        <w:jc w:val="both"/>
        <w:rPr>
          <w:rFonts w:ascii="Verdana" w:hAnsi="Verdana"/>
          <w:b/>
          <w:sz w:val="24"/>
        </w:rPr>
      </w:pPr>
    </w:p>
    <w:p w:rsidR="00B86D6F" w:rsidRDefault="00B86D6F" w:rsidP="00B86D6F">
      <w:pPr>
        <w:jc w:val="both"/>
        <w:rPr>
          <w:rFonts w:ascii="Verdana" w:hAnsi="Verdana"/>
          <w:b/>
          <w:sz w:val="24"/>
        </w:rPr>
      </w:pPr>
    </w:p>
    <w:p w:rsidR="00B86D6F" w:rsidRDefault="00B86D6F" w:rsidP="00B86D6F">
      <w:pPr>
        <w:jc w:val="both"/>
        <w:rPr>
          <w:rFonts w:ascii="Verdana" w:hAnsi="Verdana"/>
          <w:b/>
          <w:sz w:val="24"/>
        </w:rPr>
      </w:pPr>
    </w:p>
    <w:p w:rsidR="00B86D6F" w:rsidRPr="00F0560D" w:rsidRDefault="00B86D6F" w:rsidP="00B86D6F">
      <w:pPr>
        <w:jc w:val="both"/>
        <w:rPr>
          <w:rFonts w:ascii="Verdana" w:hAnsi="Verdana"/>
          <w:b/>
          <w:sz w:val="24"/>
        </w:rPr>
      </w:pPr>
      <w:r w:rsidRPr="00F0560D">
        <w:rPr>
          <w:rFonts w:ascii="Verdana" w:hAnsi="Verdana"/>
          <w:b/>
          <w:sz w:val="24"/>
        </w:rPr>
        <w:lastRenderedPageBreak/>
        <w:t xml:space="preserve">WTO VS GATT: Main differences </w:t>
      </w:r>
    </w:p>
    <w:p w:rsidR="00B86D6F" w:rsidRPr="006D5431" w:rsidRDefault="00B86D6F" w:rsidP="00B86D6F">
      <w:pPr>
        <w:ind w:left="1440"/>
        <w:jc w:val="both"/>
        <w:rPr>
          <w:rFonts w:ascii="Verdana" w:hAnsi="Verdana"/>
          <w:sz w:val="24"/>
        </w:rPr>
      </w:pPr>
    </w:p>
    <w:p w:rsidR="00B86D6F" w:rsidRPr="006D5431" w:rsidRDefault="00B86D6F" w:rsidP="00B86D6F">
      <w:pPr>
        <w:jc w:val="both"/>
        <w:rPr>
          <w:rFonts w:ascii="Verdana" w:hAnsi="Verdana"/>
          <w:sz w:val="24"/>
        </w:rPr>
      </w:pPr>
      <w:r w:rsidRPr="006D5431">
        <w:rPr>
          <w:rFonts w:ascii="Verdana" w:hAnsi="Verdana"/>
          <w:sz w:val="24"/>
        </w:rPr>
        <w:t xml:space="preserve">Although the WTO is not, formally and legally speaking, a successor agreement to the GATT (in the sense of international law of treaties), the WTO multilateral system can be considered the successor to the GATT system. Wider coverage and a move towards universal participation make the WTO system clearly distinct from the old GATT system. </w:t>
      </w:r>
    </w:p>
    <w:p w:rsidR="00B86D6F" w:rsidRDefault="00B86D6F" w:rsidP="00B86D6F">
      <w:pPr>
        <w:ind w:left="1440"/>
        <w:jc w:val="both"/>
        <w:rPr>
          <w:rFonts w:ascii="Verdana" w:hAnsi="Verdana"/>
          <w:sz w:val="24"/>
        </w:rPr>
      </w:pPr>
    </w:p>
    <w:p w:rsidR="00B86D6F" w:rsidRPr="006D5431" w:rsidRDefault="00B86D6F" w:rsidP="00B86D6F">
      <w:pPr>
        <w:ind w:left="1440"/>
        <w:jc w:val="both"/>
        <w:rPr>
          <w:rFonts w:ascii="Verdana" w:hAnsi="Verdana"/>
          <w:sz w:val="24"/>
        </w:rPr>
      </w:pPr>
    </w:p>
    <w:p w:rsidR="00B86D6F" w:rsidRPr="00F0560D" w:rsidRDefault="00B86D6F" w:rsidP="00B86D6F">
      <w:pPr>
        <w:jc w:val="both"/>
        <w:rPr>
          <w:rFonts w:ascii="Verdana" w:hAnsi="Verdana"/>
          <w:sz w:val="24"/>
          <w:u w:val="single"/>
        </w:rPr>
      </w:pPr>
      <w:r w:rsidRPr="00F0560D">
        <w:rPr>
          <w:rFonts w:ascii="Verdana" w:hAnsi="Verdana"/>
          <w:sz w:val="24"/>
          <w:u w:val="single"/>
        </w:rPr>
        <w:t>Nature</w:t>
      </w:r>
    </w:p>
    <w:p w:rsidR="00B86D6F" w:rsidRPr="006D5431" w:rsidRDefault="00B86D6F" w:rsidP="00B86D6F">
      <w:pPr>
        <w:jc w:val="both"/>
        <w:rPr>
          <w:rFonts w:ascii="Verdana" w:hAnsi="Verdana"/>
          <w:sz w:val="24"/>
        </w:rPr>
      </w:pPr>
      <w:r w:rsidRPr="006D5431">
        <w:rPr>
          <w:rFonts w:ascii="Verdana" w:hAnsi="Verdana"/>
          <w:sz w:val="24"/>
        </w:rPr>
        <w:t xml:space="preserve">The GATT was a set of rules, with no institutional foundation, applied on a provisional basis. The WTO is a permanent institution with a permanent framework and its own secretariat. </w:t>
      </w:r>
    </w:p>
    <w:p w:rsidR="00B86D6F" w:rsidRDefault="00B86D6F" w:rsidP="00B86D6F">
      <w:pPr>
        <w:ind w:left="1440"/>
        <w:jc w:val="both"/>
        <w:rPr>
          <w:rFonts w:ascii="Verdana" w:hAnsi="Verdana"/>
          <w:sz w:val="24"/>
        </w:rPr>
      </w:pPr>
    </w:p>
    <w:p w:rsidR="00B86D6F" w:rsidRPr="006D5431" w:rsidRDefault="00B86D6F" w:rsidP="00B86D6F">
      <w:pPr>
        <w:ind w:left="1440"/>
        <w:jc w:val="both"/>
        <w:rPr>
          <w:rFonts w:ascii="Verdana" w:hAnsi="Verdana"/>
          <w:sz w:val="24"/>
        </w:rPr>
      </w:pPr>
    </w:p>
    <w:p w:rsidR="00B86D6F" w:rsidRPr="00F0560D" w:rsidRDefault="00B86D6F" w:rsidP="00B86D6F">
      <w:pPr>
        <w:jc w:val="both"/>
        <w:rPr>
          <w:rFonts w:ascii="Verdana" w:hAnsi="Verdana"/>
          <w:sz w:val="24"/>
          <w:u w:val="single"/>
        </w:rPr>
      </w:pPr>
      <w:r w:rsidRPr="00F0560D">
        <w:rPr>
          <w:rFonts w:ascii="Verdana" w:hAnsi="Verdana"/>
          <w:sz w:val="24"/>
          <w:u w:val="single"/>
        </w:rPr>
        <w:t xml:space="preserve">Scope </w:t>
      </w:r>
    </w:p>
    <w:p w:rsidR="00B86D6F" w:rsidRPr="006D5431" w:rsidRDefault="00B86D6F" w:rsidP="00B86D6F">
      <w:pPr>
        <w:jc w:val="both"/>
        <w:rPr>
          <w:rFonts w:ascii="Verdana" w:hAnsi="Verdana"/>
          <w:sz w:val="24"/>
        </w:rPr>
      </w:pPr>
      <w:r w:rsidRPr="006D5431">
        <w:rPr>
          <w:rFonts w:ascii="Verdana" w:hAnsi="Verdana"/>
          <w:sz w:val="24"/>
        </w:rPr>
        <w:t xml:space="preserve">The GATT rules applied to trade in goods. The WTO Agreement covers a much wider range beyond trade in goods, including trade in services and the trade-related aspects of intellectual property rights. </w:t>
      </w:r>
    </w:p>
    <w:p w:rsidR="00B86D6F" w:rsidRDefault="00B86D6F" w:rsidP="00B86D6F">
      <w:pPr>
        <w:jc w:val="both"/>
        <w:rPr>
          <w:rFonts w:ascii="Verdana" w:hAnsi="Verdana"/>
          <w:sz w:val="24"/>
          <w:u w:val="single"/>
        </w:rPr>
      </w:pPr>
    </w:p>
    <w:p w:rsidR="00B86D6F" w:rsidRDefault="00B86D6F" w:rsidP="00B86D6F">
      <w:pPr>
        <w:jc w:val="both"/>
        <w:rPr>
          <w:rFonts w:ascii="Verdana" w:hAnsi="Verdana"/>
          <w:sz w:val="24"/>
          <w:u w:val="single"/>
        </w:rPr>
      </w:pPr>
    </w:p>
    <w:p w:rsidR="00B86D6F" w:rsidRPr="00F0560D" w:rsidRDefault="00B86D6F" w:rsidP="00B86D6F">
      <w:pPr>
        <w:jc w:val="both"/>
        <w:rPr>
          <w:rFonts w:ascii="Verdana" w:hAnsi="Verdana"/>
          <w:sz w:val="24"/>
          <w:u w:val="single"/>
        </w:rPr>
      </w:pPr>
      <w:r w:rsidRPr="00F0560D">
        <w:rPr>
          <w:rFonts w:ascii="Verdana" w:hAnsi="Verdana"/>
          <w:sz w:val="24"/>
          <w:u w:val="single"/>
        </w:rPr>
        <w:t xml:space="preserve">Approach </w:t>
      </w:r>
    </w:p>
    <w:p w:rsidR="00B86D6F" w:rsidRPr="006D5431" w:rsidRDefault="00B86D6F" w:rsidP="00B86D6F">
      <w:pPr>
        <w:jc w:val="both"/>
        <w:rPr>
          <w:rFonts w:ascii="Verdana" w:hAnsi="Verdana"/>
          <w:sz w:val="24"/>
        </w:rPr>
      </w:pPr>
      <w:r w:rsidRPr="006D5431">
        <w:rPr>
          <w:rFonts w:ascii="Verdana" w:hAnsi="Verdana"/>
          <w:sz w:val="24"/>
        </w:rPr>
        <w:t xml:space="preserve">Whilst the GATT was a multilateral instrument, a series of new agreements were adopted during the Tokyo Round on a </w:t>
      </w:r>
      <w:proofErr w:type="spellStart"/>
      <w:r w:rsidRPr="006D5431">
        <w:rPr>
          <w:rFonts w:ascii="Verdana" w:hAnsi="Verdana"/>
          <w:sz w:val="24"/>
        </w:rPr>
        <w:t>plurilateral</w:t>
      </w:r>
      <w:proofErr w:type="spellEnd"/>
      <w:r w:rsidRPr="006D5431">
        <w:rPr>
          <w:rFonts w:ascii="Verdana" w:hAnsi="Verdana"/>
          <w:sz w:val="24"/>
        </w:rPr>
        <w:t xml:space="preserve"> basis, causing a fragmentation of the multilateral trading system. </w:t>
      </w:r>
    </w:p>
    <w:p w:rsidR="00B86D6F" w:rsidRPr="006D5431" w:rsidRDefault="00B86D6F" w:rsidP="00B86D6F">
      <w:pPr>
        <w:jc w:val="both"/>
        <w:rPr>
          <w:rFonts w:ascii="Verdana" w:hAnsi="Verdana"/>
          <w:sz w:val="24"/>
        </w:rPr>
      </w:pPr>
      <w:r w:rsidRPr="006D5431">
        <w:rPr>
          <w:rFonts w:ascii="Verdana" w:hAnsi="Verdana"/>
          <w:sz w:val="24"/>
        </w:rPr>
        <w:t>The WTO was adopted, and accepted by its Members, as a single undertaking: the agreements which constitute the WTO are all multilateral, and therefore involve commitments for the entire membership of the organization.</w:t>
      </w:r>
    </w:p>
    <w:p w:rsidR="00B86D6F" w:rsidRDefault="00B86D6F" w:rsidP="00B86D6F">
      <w:pPr>
        <w:ind w:left="1440"/>
        <w:jc w:val="both"/>
        <w:rPr>
          <w:rFonts w:ascii="Verdana" w:hAnsi="Verdana"/>
          <w:sz w:val="24"/>
        </w:rPr>
      </w:pPr>
    </w:p>
    <w:p w:rsidR="00B86D6F" w:rsidRPr="006D5431" w:rsidRDefault="00B86D6F" w:rsidP="00B86D6F">
      <w:pPr>
        <w:ind w:left="1440"/>
        <w:jc w:val="both"/>
        <w:rPr>
          <w:rFonts w:ascii="Verdana" w:hAnsi="Verdana"/>
          <w:sz w:val="24"/>
        </w:rPr>
      </w:pPr>
    </w:p>
    <w:p w:rsidR="00B86D6F" w:rsidRPr="00F0560D" w:rsidRDefault="00B86D6F" w:rsidP="00B86D6F">
      <w:pPr>
        <w:jc w:val="both"/>
        <w:rPr>
          <w:rFonts w:ascii="Verdana" w:hAnsi="Verdana"/>
          <w:sz w:val="24"/>
          <w:u w:val="single"/>
        </w:rPr>
      </w:pPr>
      <w:r w:rsidRPr="00F0560D">
        <w:rPr>
          <w:rFonts w:ascii="Verdana" w:hAnsi="Verdana"/>
          <w:sz w:val="24"/>
          <w:u w:val="single"/>
        </w:rPr>
        <w:t xml:space="preserve">Dispute settlement </w:t>
      </w:r>
    </w:p>
    <w:p w:rsidR="00B86D6F" w:rsidRPr="006D5431" w:rsidRDefault="00B86D6F" w:rsidP="00B86D6F">
      <w:pPr>
        <w:jc w:val="both"/>
        <w:rPr>
          <w:rFonts w:ascii="Verdana" w:hAnsi="Verdana"/>
          <w:sz w:val="24"/>
        </w:rPr>
      </w:pPr>
      <w:r w:rsidRPr="006D5431">
        <w:rPr>
          <w:rFonts w:ascii="Verdana" w:hAnsi="Verdana"/>
          <w:sz w:val="24"/>
        </w:rPr>
        <w:t xml:space="preserve">The WTO dispute settlement system has specific time limits unlike the GATT system. It operates in a way that ensures </w:t>
      </w:r>
      <w:proofErr w:type="gramStart"/>
      <w:r w:rsidRPr="006D5431">
        <w:rPr>
          <w:rFonts w:ascii="Verdana" w:hAnsi="Verdana"/>
          <w:sz w:val="24"/>
        </w:rPr>
        <w:t>less</w:t>
      </w:r>
      <w:proofErr w:type="gramEnd"/>
      <w:r w:rsidRPr="006D5431">
        <w:rPr>
          <w:rFonts w:ascii="Verdana" w:hAnsi="Verdana"/>
          <w:sz w:val="24"/>
        </w:rPr>
        <w:t xml:space="preserve"> blockages than in the old GATT. It has a permanent Appellate body to review findings by dispute settlement panels. There are also more detailed rules on the process of the implementation of findings. Findings are in practice always adopted. </w:t>
      </w:r>
    </w:p>
    <w:p w:rsidR="005825C6" w:rsidRDefault="005825C6"/>
    <w:sectPr w:rsidR="005825C6" w:rsidSect="005825C6">
      <w:head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32C6" w:rsidRDefault="00F932C6" w:rsidP="00686A0C">
      <w:r>
        <w:separator/>
      </w:r>
    </w:p>
  </w:endnote>
  <w:endnote w:type="continuationSeparator" w:id="0">
    <w:p w:rsidR="00F932C6" w:rsidRDefault="00F932C6" w:rsidP="00686A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32C6" w:rsidRDefault="00F932C6" w:rsidP="00686A0C">
      <w:r>
        <w:separator/>
      </w:r>
    </w:p>
  </w:footnote>
  <w:footnote w:type="continuationSeparator" w:id="0">
    <w:p w:rsidR="00F932C6" w:rsidRDefault="00F932C6" w:rsidP="00686A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A0C" w:rsidRDefault="00686A0C">
    <w:pPr>
      <w:pStyle w:val="Header"/>
    </w:pPr>
    <w:r>
      <w:t xml:space="preserve">Law of the WTO, Dr </w:t>
    </w:r>
    <w:proofErr w:type="spellStart"/>
    <w:r>
      <w:t>Pavel</w:t>
    </w:r>
    <w:proofErr w:type="spellEnd"/>
    <w:r>
      <w:t xml:space="preserve"> </w:t>
    </w:r>
    <w:proofErr w:type="spellStart"/>
    <w:r>
      <w:t>Repyeuski</w:t>
    </w:r>
    <w:proofErr w:type="spellEnd"/>
    <w:r>
      <w:t>, 2012-12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DB6E70"/>
    <w:multiLevelType w:val="hybridMultilevel"/>
    <w:tmpl w:val="834C8AC4"/>
    <w:lvl w:ilvl="0" w:tplc="0419000F">
      <w:start w:val="1"/>
      <w:numFmt w:val="decimal"/>
      <w:lvlText w:val="%1."/>
      <w:lvlJc w:val="left"/>
      <w:pPr>
        <w:tabs>
          <w:tab w:val="num" w:pos="720"/>
        </w:tabs>
        <w:ind w:left="720" w:hanging="360"/>
      </w:pPr>
    </w:lvl>
    <w:lvl w:ilvl="1" w:tplc="29144124">
      <w:start w:val="1"/>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60C2B75"/>
    <w:multiLevelType w:val="hybridMultilevel"/>
    <w:tmpl w:val="225EF6A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CCF0FCE"/>
    <w:multiLevelType w:val="hybridMultilevel"/>
    <w:tmpl w:val="A7A8677C"/>
    <w:lvl w:ilvl="0" w:tplc="08090001">
      <w:start w:val="1"/>
      <w:numFmt w:val="bullet"/>
      <w:lvlText w:val=""/>
      <w:lvlJc w:val="left"/>
      <w:pPr>
        <w:tabs>
          <w:tab w:val="num" w:pos="1440"/>
        </w:tabs>
        <w:ind w:left="1440" w:hanging="360"/>
      </w:pPr>
      <w:rPr>
        <w:rFonts w:ascii="Symbol" w:hAnsi="Symbol" w:hint="default"/>
      </w:rPr>
    </w:lvl>
    <w:lvl w:ilvl="1" w:tplc="0419000F">
      <w:start w:val="1"/>
      <w:numFmt w:val="decimal"/>
      <w:lvlText w:val="%2."/>
      <w:lvlJc w:val="left"/>
      <w:pPr>
        <w:tabs>
          <w:tab w:val="num" w:pos="720"/>
        </w:tabs>
        <w:ind w:left="720" w:hanging="360"/>
      </w:pPr>
      <w:rPr>
        <w:rFonts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nsid w:val="659E33F6"/>
    <w:multiLevelType w:val="hybridMultilevel"/>
    <w:tmpl w:val="01789D78"/>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7E8A5409"/>
    <w:multiLevelType w:val="hybridMultilevel"/>
    <w:tmpl w:val="25906C1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86D6F"/>
    <w:rsid w:val="00213982"/>
    <w:rsid w:val="005825C6"/>
    <w:rsid w:val="00686A0C"/>
    <w:rsid w:val="00B86D6F"/>
    <w:rsid w:val="00EF54BE"/>
    <w:rsid w:val="00F932C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D6F"/>
    <w:pPr>
      <w:spacing w:after="0" w:line="240" w:lineRule="auto"/>
    </w:pPr>
    <w:rPr>
      <w:rFonts w:ascii="Arial" w:eastAsia="Times New Roman" w:hAnsi="Arial" w:cs="Arial"/>
      <w:szCs w:val="24"/>
    </w:rPr>
  </w:style>
  <w:style w:type="paragraph" w:styleId="Heading2">
    <w:name w:val="heading 2"/>
    <w:basedOn w:val="Normal"/>
    <w:link w:val="Heading2Char"/>
    <w:qFormat/>
    <w:rsid w:val="00B86D6F"/>
    <w:pPr>
      <w:spacing w:before="100" w:beforeAutospacing="1" w:after="100" w:afterAutospacing="1"/>
      <w:outlineLvl w:val="1"/>
    </w:pPr>
    <w:rPr>
      <w:rFonts w:ascii="Arial Unicode MS" w:eastAsia="Arial Unicode MS" w:hAnsi="Arial Unicode MS" w:cs="Arial Unicode M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86D6F"/>
    <w:rPr>
      <w:rFonts w:ascii="Arial Unicode MS" w:eastAsia="Arial Unicode MS" w:hAnsi="Arial Unicode MS" w:cs="Arial Unicode MS"/>
      <w:b/>
      <w:bCs/>
      <w:sz w:val="36"/>
      <w:szCs w:val="36"/>
    </w:rPr>
  </w:style>
  <w:style w:type="paragraph" w:styleId="NormalWeb">
    <w:name w:val="Normal (Web)"/>
    <w:basedOn w:val="Normal"/>
    <w:uiPriority w:val="99"/>
    <w:rsid w:val="00B86D6F"/>
    <w:pPr>
      <w:spacing w:before="100" w:beforeAutospacing="1" w:after="100" w:afterAutospacing="1"/>
    </w:pPr>
    <w:rPr>
      <w:rFonts w:ascii="Arial Unicode MS" w:eastAsia="Arial Unicode MS" w:hAnsi="Arial Unicode MS" w:cs="Arial Unicode MS"/>
      <w:sz w:val="24"/>
    </w:rPr>
  </w:style>
  <w:style w:type="character" w:styleId="Hyperlink">
    <w:name w:val="Hyperlink"/>
    <w:rsid w:val="00B86D6F"/>
    <w:rPr>
      <w:color w:val="0000FF"/>
      <w:u w:val="single"/>
    </w:rPr>
  </w:style>
  <w:style w:type="paragraph" w:styleId="Header">
    <w:name w:val="header"/>
    <w:basedOn w:val="Normal"/>
    <w:link w:val="HeaderChar"/>
    <w:uiPriority w:val="99"/>
    <w:semiHidden/>
    <w:unhideWhenUsed/>
    <w:rsid w:val="00686A0C"/>
    <w:pPr>
      <w:tabs>
        <w:tab w:val="center" w:pos="4513"/>
        <w:tab w:val="right" w:pos="9026"/>
      </w:tabs>
    </w:pPr>
  </w:style>
  <w:style w:type="character" w:customStyle="1" w:styleId="HeaderChar">
    <w:name w:val="Header Char"/>
    <w:basedOn w:val="DefaultParagraphFont"/>
    <w:link w:val="Header"/>
    <w:uiPriority w:val="99"/>
    <w:semiHidden/>
    <w:rsid w:val="00686A0C"/>
    <w:rPr>
      <w:rFonts w:ascii="Arial" w:eastAsia="Times New Roman" w:hAnsi="Arial" w:cs="Arial"/>
      <w:szCs w:val="24"/>
    </w:rPr>
  </w:style>
  <w:style w:type="paragraph" w:styleId="Footer">
    <w:name w:val="footer"/>
    <w:basedOn w:val="Normal"/>
    <w:link w:val="FooterChar"/>
    <w:uiPriority w:val="99"/>
    <w:semiHidden/>
    <w:unhideWhenUsed/>
    <w:rsid w:val="00686A0C"/>
    <w:pPr>
      <w:tabs>
        <w:tab w:val="center" w:pos="4513"/>
        <w:tab w:val="right" w:pos="9026"/>
      </w:tabs>
    </w:pPr>
  </w:style>
  <w:style w:type="character" w:customStyle="1" w:styleId="FooterChar">
    <w:name w:val="Footer Char"/>
    <w:basedOn w:val="DefaultParagraphFont"/>
    <w:link w:val="Footer"/>
    <w:uiPriority w:val="99"/>
    <w:semiHidden/>
    <w:rsid w:val="00686A0C"/>
    <w:rPr>
      <w:rFonts w:ascii="Arial" w:eastAsia="Times New Roman" w:hAnsi="Arial" w:cs="Arial"/>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wto.org/english/thewto_e/whatis_e/inbrief_e/inbr01_e.htm%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1948</Words>
  <Characters>11104</Characters>
  <Application>Microsoft Office Word</Application>
  <DocSecurity>0</DocSecurity>
  <Lines>92</Lines>
  <Paragraphs>26</Paragraphs>
  <ScaleCrop>false</ScaleCrop>
  <Company>Leeds Metropolitan University</Company>
  <LinksUpToDate>false</LinksUpToDate>
  <CharactersWithSpaces>13026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pavel</dc:creator>
  <cp:lastModifiedBy>pavel</cp:lastModifiedBy>
  <cp:revision>2</cp:revision>
  <dcterms:created xsi:type="dcterms:W3CDTF">2012-05-15T16:37:00Z</dcterms:created>
  <dcterms:modified xsi:type="dcterms:W3CDTF">2012-09-14T16:30:00Z</dcterms:modified>
</cp:coreProperties>
</file>