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C4F" w:rsidRPr="000C57F6" w:rsidRDefault="00DD4C4F" w:rsidP="00DD4C4F">
      <w:pPr>
        <w:pBdr>
          <w:top w:val="single" w:sz="18" w:space="1" w:color="auto"/>
        </w:pBdr>
        <w:spacing w:line="280" w:lineRule="atLeast"/>
        <w:rPr>
          <w:rFonts w:ascii="Verdana" w:hAnsi="Verdana"/>
          <w:b/>
          <w:sz w:val="32"/>
          <w:szCs w:val="32"/>
        </w:rPr>
      </w:pPr>
      <w:r w:rsidRPr="000C57F6">
        <w:rPr>
          <w:rFonts w:ascii="Verdana" w:hAnsi="Verdana"/>
          <w:b/>
          <w:sz w:val="32"/>
          <w:szCs w:val="32"/>
        </w:rPr>
        <w:t xml:space="preserve">Online Tutorial 5 </w:t>
      </w:r>
    </w:p>
    <w:p w:rsidR="00DD4C4F" w:rsidRPr="000C57F6" w:rsidRDefault="00DD4C4F" w:rsidP="00DD4C4F">
      <w:pPr>
        <w:spacing w:line="280" w:lineRule="atLeast"/>
        <w:ind w:left="2160" w:hanging="2160"/>
        <w:rPr>
          <w:rFonts w:ascii="Verdana" w:hAnsi="Verdana"/>
          <w:sz w:val="24"/>
          <w:u w:val="single"/>
        </w:rPr>
      </w:pPr>
    </w:p>
    <w:p w:rsidR="00DD4C4F" w:rsidRPr="000C57F6" w:rsidRDefault="00DD4C4F" w:rsidP="00DD4C4F">
      <w:pPr>
        <w:spacing w:line="280" w:lineRule="atLeast"/>
        <w:ind w:left="2160" w:hanging="2160"/>
        <w:rPr>
          <w:rFonts w:ascii="Verdana" w:hAnsi="Verdana"/>
          <w:b/>
          <w:bCs/>
          <w:sz w:val="24"/>
          <w:lang w:val="en-US"/>
        </w:rPr>
      </w:pPr>
      <w:r w:rsidRPr="000C57F6">
        <w:rPr>
          <w:rFonts w:ascii="Verdana" w:hAnsi="Verdana"/>
          <w:sz w:val="24"/>
          <w:u w:val="single"/>
        </w:rPr>
        <w:t>Topic</w:t>
      </w:r>
      <w:r w:rsidRPr="000C57F6">
        <w:rPr>
          <w:rFonts w:ascii="Verdana" w:hAnsi="Verdana"/>
          <w:sz w:val="24"/>
        </w:rPr>
        <w:t xml:space="preserve">:  </w:t>
      </w:r>
      <w:r w:rsidRPr="000C57F6">
        <w:rPr>
          <w:rFonts w:ascii="Verdana" w:hAnsi="Verdana"/>
          <w:b/>
          <w:bCs/>
          <w:sz w:val="24"/>
        </w:rPr>
        <w:t>WTO and Environment</w:t>
      </w:r>
    </w:p>
    <w:p w:rsidR="00DD4C4F" w:rsidRPr="000C57F6" w:rsidRDefault="00DD4C4F" w:rsidP="00DD4C4F">
      <w:pPr>
        <w:spacing w:line="280" w:lineRule="atLeast"/>
        <w:ind w:left="2160" w:hanging="2160"/>
        <w:rPr>
          <w:rFonts w:ascii="Verdana" w:hAnsi="Verdana"/>
          <w:sz w:val="24"/>
          <w:u w:val="single"/>
        </w:rPr>
      </w:pPr>
    </w:p>
    <w:p w:rsidR="00DD4C4F" w:rsidRPr="000C57F6" w:rsidRDefault="00DD4C4F" w:rsidP="00DD4C4F">
      <w:pPr>
        <w:spacing w:line="280" w:lineRule="atLeast"/>
        <w:ind w:left="2160" w:hanging="2160"/>
        <w:rPr>
          <w:rFonts w:ascii="Verdana" w:hAnsi="Verdana"/>
          <w:sz w:val="24"/>
        </w:rPr>
      </w:pPr>
      <w:r>
        <w:rPr>
          <w:rFonts w:ascii="Verdana" w:hAnsi="Verdana"/>
          <w:sz w:val="24"/>
        </w:rPr>
        <w:t>G</w:t>
      </w:r>
      <w:r w:rsidRPr="000C57F6">
        <w:rPr>
          <w:rFonts w:ascii="Verdana" w:hAnsi="Verdana"/>
          <w:sz w:val="24"/>
        </w:rPr>
        <w:t>o over Unit 5 power point slides</w:t>
      </w:r>
    </w:p>
    <w:p w:rsidR="00DD4C4F" w:rsidRPr="000C57F6" w:rsidRDefault="00DD4C4F" w:rsidP="00DD4C4F">
      <w:pPr>
        <w:spacing w:line="280" w:lineRule="atLeast"/>
        <w:ind w:left="2160" w:hanging="2160"/>
        <w:rPr>
          <w:rFonts w:ascii="Verdana" w:hAnsi="Verdana"/>
          <w:sz w:val="24"/>
          <w:u w:val="single"/>
        </w:rPr>
      </w:pPr>
    </w:p>
    <w:p w:rsidR="00DD4C4F" w:rsidRPr="000C57F6" w:rsidRDefault="00DD4C4F" w:rsidP="00DD4C4F">
      <w:pPr>
        <w:spacing w:line="280" w:lineRule="atLeast"/>
        <w:ind w:left="2160" w:hanging="2160"/>
        <w:rPr>
          <w:rFonts w:ascii="Verdana" w:hAnsi="Verdana"/>
          <w:sz w:val="24"/>
        </w:rPr>
      </w:pPr>
      <w:r w:rsidRPr="000C57F6">
        <w:rPr>
          <w:rFonts w:ascii="Verdana" w:hAnsi="Verdana"/>
          <w:sz w:val="24"/>
          <w:u w:val="single"/>
        </w:rPr>
        <w:t>Reading</w:t>
      </w:r>
      <w:r w:rsidRPr="000C57F6">
        <w:rPr>
          <w:rFonts w:ascii="Verdana" w:hAnsi="Verdana"/>
          <w:sz w:val="24"/>
        </w:rPr>
        <w:t>:</w:t>
      </w:r>
      <w:r w:rsidRPr="000C57F6">
        <w:rPr>
          <w:rFonts w:ascii="Verdana" w:hAnsi="Verdana"/>
          <w:sz w:val="24"/>
        </w:rPr>
        <w:tab/>
        <w:t>Workbook Unit 5</w:t>
      </w:r>
    </w:p>
    <w:p w:rsidR="00DD4C4F" w:rsidRPr="000C57F6" w:rsidRDefault="00DD4C4F" w:rsidP="00DD4C4F">
      <w:pPr>
        <w:spacing w:line="280" w:lineRule="atLeast"/>
        <w:jc w:val="both"/>
        <w:rPr>
          <w:rFonts w:ascii="Verdana" w:hAnsi="Verdana" w:cs="Verdana"/>
          <w:sz w:val="24"/>
        </w:rPr>
      </w:pPr>
      <w:r w:rsidRPr="000C57F6">
        <w:rPr>
          <w:rFonts w:ascii="Verdana" w:hAnsi="Verdana"/>
          <w:sz w:val="24"/>
        </w:rPr>
        <w:t xml:space="preserve">                        </w:t>
      </w:r>
      <w:r>
        <w:rPr>
          <w:rFonts w:ascii="Verdana" w:hAnsi="Verdana"/>
          <w:sz w:val="24"/>
        </w:rPr>
        <w:t xml:space="preserve">Respective pages of the </w:t>
      </w:r>
      <w:proofErr w:type="spellStart"/>
      <w:r w:rsidRPr="00463559">
        <w:rPr>
          <w:rFonts w:ascii="Verdana" w:hAnsi="Verdana"/>
          <w:sz w:val="24"/>
        </w:rPr>
        <w:t>Trebilcock</w:t>
      </w:r>
      <w:proofErr w:type="spellEnd"/>
      <w:r w:rsidRPr="00463559">
        <w:rPr>
          <w:rFonts w:ascii="Verdana" w:hAnsi="Verdana"/>
          <w:sz w:val="24"/>
        </w:rPr>
        <w:t xml:space="preserve">, </w:t>
      </w:r>
      <w:proofErr w:type="spellStart"/>
      <w:r w:rsidRPr="00463559">
        <w:rPr>
          <w:rFonts w:ascii="Verdana" w:hAnsi="Verdana"/>
          <w:sz w:val="24"/>
        </w:rPr>
        <w:t>Howse</w:t>
      </w:r>
      <w:proofErr w:type="spellEnd"/>
      <w:r w:rsidRPr="00463559">
        <w:rPr>
          <w:rFonts w:ascii="Verdana" w:hAnsi="Verdana"/>
          <w:sz w:val="24"/>
        </w:rPr>
        <w:t xml:space="preserve"> and </w:t>
      </w:r>
      <w:proofErr w:type="spellStart"/>
      <w:r w:rsidRPr="00463559">
        <w:rPr>
          <w:rFonts w:ascii="Verdana" w:hAnsi="Verdana"/>
          <w:sz w:val="24"/>
        </w:rPr>
        <w:t>Eliason</w:t>
      </w:r>
      <w:proofErr w:type="spellEnd"/>
    </w:p>
    <w:p w:rsidR="00DD4C4F" w:rsidRPr="000C57F6" w:rsidRDefault="00DD4C4F" w:rsidP="00DD4C4F">
      <w:pPr>
        <w:spacing w:line="280" w:lineRule="atLeast"/>
        <w:jc w:val="both"/>
        <w:rPr>
          <w:rFonts w:ascii="Verdana" w:hAnsi="Verdana" w:cs="Verdana"/>
          <w:sz w:val="24"/>
        </w:rPr>
      </w:pPr>
    </w:p>
    <w:p w:rsidR="00DD4C4F" w:rsidRDefault="00DD4C4F" w:rsidP="00DD4C4F">
      <w:pPr>
        <w:spacing w:line="280" w:lineRule="atLeast"/>
        <w:rPr>
          <w:rFonts w:ascii="Verdana" w:hAnsi="Verdana" w:cs="Verdana"/>
          <w:sz w:val="24"/>
        </w:rPr>
      </w:pPr>
      <w:r w:rsidRPr="000C57F6">
        <w:rPr>
          <w:rFonts w:ascii="Verdana" w:hAnsi="Verdana" w:cs="Verdana"/>
          <w:sz w:val="24"/>
        </w:rPr>
        <w:t xml:space="preserve">Access the full text of GATT, TBT and SPS Agreements via the WTO Legal Texts website at:  </w:t>
      </w:r>
      <w:hyperlink r:id="rId5" w:history="1">
        <w:r w:rsidRPr="000C57F6">
          <w:rPr>
            <w:rStyle w:val="Hyperlink"/>
            <w:rFonts w:ascii="Verdana" w:hAnsi="Verdana" w:cs="Verdana"/>
            <w:sz w:val="24"/>
          </w:rPr>
          <w:t>http://www.wto.org/english/docs_e/legal_e/legal_e.htm</w:t>
        </w:r>
      </w:hyperlink>
      <w:r w:rsidRPr="000C57F6">
        <w:rPr>
          <w:rFonts w:ascii="Verdana" w:hAnsi="Verdana" w:cs="Verdana"/>
          <w:sz w:val="24"/>
        </w:rPr>
        <w:t xml:space="preserve"> </w:t>
      </w:r>
    </w:p>
    <w:p w:rsidR="008F42BF" w:rsidRDefault="008F42BF" w:rsidP="00DD4C4F">
      <w:pPr>
        <w:spacing w:line="280" w:lineRule="atLeast"/>
        <w:rPr>
          <w:rFonts w:ascii="Verdana" w:hAnsi="Verdana" w:cs="Verdana"/>
          <w:sz w:val="24"/>
        </w:rPr>
      </w:pPr>
    </w:p>
    <w:p w:rsidR="008F42BF" w:rsidRPr="008F42BF" w:rsidRDefault="008F42BF" w:rsidP="00DD4C4F">
      <w:pPr>
        <w:spacing w:line="280" w:lineRule="atLeast"/>
        <w:rPr>
          <w:rFonts w:ascii="Verdana" w:hAnsi="Verdana" w:cs="Verdana"/>
          <w:sz w:val="24"/>
          <w:u w:val="single"/>
        </w:rPr>
      </w:pPr>
      <w:r w:rsidRPr="008F42BF">
        <w:rPr>
          <w:rFonts w:ascii="Verdana" w:hAnsi="Verdana" w:cs="Verdana"/>
          <w:sz w:val="24"/>
          <w:u w:val="single"/>
        </w:rPr>
        <w:t>Further reading:</w:t>
      </w:r>
    </w:p>
    <w:p w:rsidR="008F42BF" w:rsidRPr="008F42BF" w:rsidRDefault="008F42BF" w:rsidP="008F42BF">
      <w:pPr>
        <w:shd w:val="clear" w:color="auto" w:fill="FFFFFF"/>
        <w:spacing w:before="100" w:beforeAutospacing="1" w:after="100" w:afterAutospacing="1"/>
        <w:outlineLvl w:val="0"/>
        <w:rPr>
          <w:rFonts w:ascii="Verdana" w:hAnsi="Verdana"/>
          <w:color w:val="000000" w:themeColor="text1"/>
          <w:sz w:val="24"/>
        </w:rPr>
      </w:pPr>
      <w:proofErr w:type="spellStart"/>
      <w:r w:rsidRPr="008F42BF">
        <w:rPr>
          <w:rFonts w:ascii="Verdana" w:hAnsi="Verdana"/>
          <w:bCs/>
          <w:color w:val="000000" w:themeColor="text1"/>
          <w:kern w:val="36"/>
          <w:sz w:val="24"/>
          <w:lang w:eastAsia="en-GB"/>
        </w:rPr>
        <w:t>Sakmar</w:t>
      </w:r>
      <w:proofErr w:type="spellEnd"/>
      <w:r w:rsidRPr="008F42BF">
        <w:rPr>
          <w:rFonts w:ascii="Verdana" w:hAnsi="Verdana"/>
          <w:bCs/>
          <w:color w:val="000000" w:themeColor="text1"/>
          <w:kern w:val="36"/>
          <w:sz w:val="24"/>
          <w:lang w:eastAsia="en-GB"/>
        </w:rPr>
        <w:t xml:space="preserve">, Susan L., Free Trade and Sea Turtles: The International and Domestic Implications of the Shrimp-Turtles Case (1999), </w:t>
      </w:r>
      <w:hyperlink r:id="rId6" w:anchor="#" w:history="1">
        <w:r w:rsidRPr="008F42BF">
          <w:rPr>
            <w:rStyle w:val="Hyperlink"/>
            <w:rFonts w:ascii="Verdana" w:hAnsi="Verdana" w:cs="Times New Roman"/>
            <w:iCs/>
            <w:color w:val="000000" w:themeColor="text1"/>
            <w:sz w:val="24"/>
            <w:u w:val="none"/>
            <w:lang w:eastAsia="en-GB"/>
          </w:rPr>
          <w:t>Colorado Journal of International Environmental Law and Policy, Vol. 10, No. 2, p. 345, 1999</w:t>
        </w:r>
      </w:hyperlink>
      <w:r w:rsidRPr="008F42BF">
        <w:rPr>
          <w:rFonts w:ascii="Verdana" w:hAnsi="Verdana"/>
          <w:color w:val="000000" w:themeColor="text1"/>
          <w:sz w:val="24"/>
        </w:rPr>
        <w:t xml:space="preserve">. Available at SSRN: </w:t>
      </w:r>
      <w:hyperlink r:id="rId7" w:history="1">
        <w:r w:rsidRPr="008F42BF">
          <w:rPr>
            <w:rStyle w:val="Hyperlink"/>
            <w:rFonts w:ascii="Verdana" w:hAnsi="Verdana"/>
            <w:sz w:val="24"/>
          </w:rPr>
          <w:t>http://ssrn.com/abstract=1989186</w:t>
        </w:r>
      </w:hyperlink>
    </w:p>
    <w:p w:rsidR="008F42BF" w:rsidRPr="008F42BF" w:rsidRDefault="008F42BF" w:rsidP="008F42BF">
      <w:pPr>
        <w:shd w:val="clear" w:color="auto" w:fill="FFFFFF"/>
        <w:spacing w:before="100" w:beforeAutospacing="1" w:after="100" w:afterAutospacing="1"/>
        <w:outlineLvl w:val="0"/>
        <w:rPr>
          <w:rFonts w:ascii="Verdana" w:hAnsi="Verdana"/>
          <w:color w:val="000000" w:themeColor="text1"/>
          <w:sz w:val="24"/>
        </w:rPr>
      </w:pPr>
      <w:r w:rsidRPr="008F42BF">
        <w:rPr>
          <w:rFonts w:ascii="Verdana" w:hAnsi="Verdana"/>
          <w:color w:val="000000" w:themeColor="text1"/>
          <w:sz w:val="24"/>
        </w:rPr>
        <w:t xml:space="preserve">Khan, Muhammad </w:t>
      </w:r>
      <w:proofErr w:type="spellStart"/>
      <w:r w:rsidRPr="008F42BF">
        <w:rPr>
          <w:rFonts w:ascii="Verdana" w:hAnsi="Verdana"/>
          <w:color w:val="000000" w:themeColor="text1"/>
          <w:sz w:val="24"/>
        </w:rPr>
        <w:t>Asif</w:t>
      </w:r>
      <w:proofErr w:type="spellEnd"/>
      <w:r w:rsidRPr="008F42BF">
        <w:rPr>
          <w:rFonts w:ascii="Verdana" w:hAnsi="Verdana"/>
          <w:color w:val="000000" w:themeColor="text1"/>
          <w:sz w:val="24"/>
        </w:rPr>
        <w:t xml:space="preserve">, Environment and Trade Matters under GATT Article XX (July 16, 2011). Available at SSRN: http://ssrn.com/abstract=1887205 or </w:t>
      </w:r>
      <w:hyperlink r:id="rId8" w:history="1">
        <w:r w:rsidRPr="008F42BF">
          <w:rPr>
            <w:rStyle w:val="Hyperlink"/>
            <w:rFonts w:ascii="Verdana" w:hAnsi="Verdana"/>
            <w:color w:val="000000" w:themeColor="text1"/>
            <w:sz w:val="24"/>
          </w:rPr>
          <w:t>http://dx.doi.org/10.2139/ssrn.1887205</w:t>
        </w:r>
      </w:hyperlink>
    </w:p>
    <w:p w:rsidR="008F42BF" w:rsidRPr="008F42BF" w:rsidRDefault="008F42BF" w:rsidP="008F42BF">
      <w:pPr>
        <w:rPr>
          <w:rFonts w:ascii="Verdana" w:hAnsi="Verdana"/>
          <w:color w:val="000000" w:themeColor="text1"/>
          <w:sz w:val="24"/>
        </w:rPr>
      </w:pPr>
      <w:proofErr w:type="spellStart"/>
      <w:r w:rsidRPr="008F42BF">
        <w:rPr>
          <w:rFonts w:ascii="Verdana" w:hAnsi="Verdana"/>
          <w:color w:val="000000" w:themeColor="text1"/>
          <w:sz w:val="24"/>
        </w:rPr>
        <w:t>Arcuri</w:t>
      </w:r>
      <w:proofErr w:type="spellEnd"/>
      <w:r w:rsidRPr="008F42BF">
        <w:rPr>
          <w:rFonts w:ascii="Verdana" w:hAnsi="Verdana"/>
          <w:color w:val="000000" w:themeColor="text1"/>
          <w:sz w:val="24"/>
        </w:rPr>
        <w:t xml:space="preserve">, Alessandra, Back to the Future: US-Tuna II and the New Environment-Trade Debate (April 20, 2012). European Journal of Risk </w:t>
      </w:r>
      <w:proofErr w:type="gramStart"/>
      <w:r w:rsidRPr="008F42BF">
        <w:rPr>
          <w:rFonts w:ascii="Verdana" w:hAnsi="Verdana"/>
          <w:color w:val="000000" w:themeColor="text1"/>
          <w:sz w:val="24"/>
        </w:rPr>
        <w:t>Regulation,</w:t>
      </w:r>
      <w:proofErr w:type="gramEnd"/>
      <w:r w:rsidRPr="008F42BF">
        <w:rPr>
          <w:rFonts w:ascii="Verdana" w:hAnsi="Verdana"/>
          <w:color w:val="000000" w:themeColor="text1"/>
          <w:sz w:val="24"/>
        </w:rPr>
        <w:t xml:space="preserve"> May 2012. Available at SSRN: http://ssrn.com/abstract=2043127 </w:t>
      </w:r>
    </w:p>
    <w:p w:rsidR="008F42BF" w:rsidRPr="000C57F6" w:rsidRDefault="008F42BF" w:rsidP="00DD4C4F">
      <w:pPr>
        <w:spacing w:line="280" w:lineRule="atLeast"/>
        <w:rPr>
          <w:rFonts w:ascii="Verdana" w:hAnsi="Verdana" w:cs="Verdana"/>
          <w:sz w:val="24"/>
        </w:rPr>
      </w:pPr>
    </w:p>
    <w:p w:rsidR="00DD4C4F" w:rsidRPr="000C57F6" w:rsidRDefault="00DD4C4F" w:rsidP="00DD4C4F">
      <w:pPr>
        <w:pBdr>
          <w:bottom w:val="single" w:sz="2" w:space="1" w:color="auto"/>
        </w:pBdr>
        <w:spacing w:line="280" w:lineRule="atLeast"/>
        <w:rPr>
          <w:rFonts w:ascii="Verdana" w:hAnsi="Verdana"/>
          <w:sz w:val="24"/>
        </w:rPr>
      </w:pPr>
    </w:p>
    <w:p w:rsidR="00DD4C4F" w:rsidRPr="000C57F6" w:rsidRDefault="00DD4C4F" w:rsidP="00DD4C4F">
      <w:pPr>
        <w:spacing w:line="280" w:lineRule="atLeast"/>
        <w:jc w:val="both"/>
        <w:rPr>
          <w:rFonts w:ascii="Verdana" w:hAnsi="Verdana" w:cs="Verdana"/>
          <w:sz w:val="24"/>
          <w:u w:val="single"/>
        </w:rPr>
      </w:pPr>
    </w:p>
    <w:p w:rsidR="00DD4C4F" w:rsidRPr="000C57F6" w:rsidRDefault="00DD4C4F" w:rsidP="00DD4C4F">
      <w:pPr>
        <w:spacing w:line="280" w:lineRule="atLeast"/>
        <w:jc w:val="both"/>
        <w:rPr>
          <w:rFonts w:ascii="Verdana" w:hAnsi="Verdana" w:cs="Verdana"/>
          <w:b/>
          <w:i/>
          <w:sz w:val="24"/>
          <w:u w:val="single"/>
        </w:rPr>
      </w:pPr>
      <w:r w:rsidRPr="000C57F6">
        <w:rPr>
          <w:rFonts w:ascii="Verdana" w:hAnsi="Verdana" w:cs="Verdana"/>
          <w:b/>
          <w:i/>
          <w:sz w:val="24"/>
          <w:u w:val="single"/>
        </w:rPr>
        <w:t>Learning outcomes</w:t>
      </w:r>
      <w:r w:rsidRPr="000C57F6">
        <w:rPr>
          <w:rFonts w:ascii="Verdana" w:hAnsi="Verdana" w:cs="Verdana"/>
          <w:b/>
          <w:i/>
          <w:sz w:val="24"/>
        </w:rPr>
        <w:t>:</w:t>
      </w:r>
    </w:p>
    <w:p w:rsidR="00DD4C4F" w:rsidRPr="000C57F6" w:rsidRDefault="00DD4C4F" w:rsidP="00DD4C4F">
      <w:pPr>
        <w:numPr>
          <w:ilvl w:val="0"/>
          <w:numId w:val="1"/>
        </w:numPr>
        <w:jc w:val="both"/>
        <w:rPr>
          <w:rFonts w:ascii="Verdana" w:hAnsi="Verdana"/>
          <w:sz w:val="24"/>
        </w:rPr>
      </w:pPr>
      <w:r w:rsidRPr="000C57F6">
        <w:rPr>
          <w:rFonts w:ascii="Verdana" w:hAnsi="Verdana"/>
          <w:sz w:val="24"/>
        </w:rPr>
        <w:t>To understand and be able to critically discuss the key principles governing GATT Article XX – General Exceptions, and the TBT and SPS Agreements;</w:t>
      </w:r>
    </w:p>
    <w:p w:rsidR="00DD4C4F" w:rsidRPr="000C57F6" w:rsidRDefault="00DD4C4F" w:rsidP="00DD4C4F">
      <w:pPr>
        <w:numPr>
          <w:ilvl w:val="0"/>
          <w:numId w:val="1"/>
        </w:numPr>
        <w:jc w:val="both"/>
        <w:rPr>
          <w:rFonts w:ascii="Verdana" w:hAnsi="Verdana"/>
          <w:sz w:val="24"/>
        </w:rPr>
      </w:pPr>
      <w:r w:rsidRPr="000C57F6">
        <w:rPr>
          <w:rFonts w:ascii="Verdana" w:hAnsi="Verdana"/>
          <w:sz w:val="24"/>
        </w:rPr>
        <w:t>To distinguish and be able to explain general exceptions under GATT and their relationship with other international treaties;</w:t>
      </w:r>
    </w:p>
    <w:p w:rsidR="00DD4C4F" w:rsidRPr="000C57F6" w:rsidRDefault="00DD4C4F" w:rsidP="00DD4C4F">
      <w:pPr>
        <w:numPr>
          <w:ilvl w:val="0"/>
          <w:numId w:val="1"/>
        </w:numPr>
        <w:jc w:val="both"/>
        <w:rPr>
          <w:rFonts w:ascii="Verdana" w:hAnsi="Verdana"/>
          <w:sz w:val="24"/>
        </w:rPr>
      </w:pPr>
      <w:r w:rsidRPr="000C57F6">
        <w:rPr>
          <w:rFonts w:ascii="Verdana" w:hAnsi="Verdana"/>
          <w:sz w:val="24"/>
        </w:rPr>
        <w:t>To apply this to the rights of Members to introduce domestic measures dealing with environmental law issues.</w:t>
      </w:r>
    </w:p>
    <w:p w:rsidR="00DD4C4F" w:rsidRDefault="00DD4C4F" w:rsidP="00DD4C4F">
      <w:pPr>
        <w:spacing w:line="360" w:lineRule="auto"/>
        <w:ind w:left="1440"/>
        <w:jc w:val="both"/>
        <w:rPr>
          <w:rFonts w:ascii="Verdana" w:hAnsi="Verdana"/>
          <w:sz w:val="24"/>
          <w:u w:val="single"/>
        </w:rPr>
      </w:pPr>
    </w:p>
    <w:p w:rsidR="008F42BF" w:rsidRDefault="008F42BF" w:rsidP="00DD4C4F">
      <w:pPr>
        <w:spacing w:line="360" w:lineRule="auto"/>
        <w:ind w:left="1440"/>
        <w:jc w:val="both"/>
        <w:rPr>
          <w:rFonts w:ascii="Verdana" w:hAnsi="Verdana"/>
          <w:sz w:val="24"/>
          <w:u w:val="single"/>
        </w:rPr>
      </w:pPr>
    </w:p>
    <w:p w:rsidR="008F42BF" w:rsidRDefault="008F42BF" w:rsidP="00DD4C4F">
      <w:pPr>
        <w:spacing w:line="360" w:lineRule="auto"/>
        <w:ind w:left="1440"/>
        <w:jc w:val="both"/>
        <w:rPr>
          <w:rFonts w:ascii="Verdana" w:hAnsi="Verdana"/>
          <w:sz w:val="24"/>
          <w:u w:val="single"/>
        </w:rPr>
      </w:pPr>
    </w:p>
    <w:p w:rsidR="008F42BF" w:rsidRPr="000C57F6" w:rsidRDefault="008F42BF" w:rsidP="00DD4C4F">
      <w:pPr>
        <w:spacing w:line="360" w:lineRule="auto"/>
        <w:ind w:left="1440"/>
        <w:jc w:val="both"/>
        <w:rPr>
          <w:rFonts w:ascii="Verdana" w:hAnsi="Verdana"/>
          <w:sz w:val="24"/>
          <w:u w:val="single"/>
        </w:rPr>
      </w:pPr>
    </w:p>
    <w:p w:rsidR="00DD4C4F" w:rsidRPr="000C57F6" w:rsidRDefault="00DD4C4F" w:rsidP="00DD4C4F">
      <w:pPr>
        <w:spacing w:line="360" w:lineRule="auto"/>
        <w:ind w:left="1440"/>
        <w:jc w:val="both"/>
        <w:rPr>
          <w:rFonts w:ascii="Verdana" w:hAnsi="Verdana"/>
          <w:sz w:val="24"/>
          <w:u w:val="single"/>
        </w:rPr>
      </w:pPr>
    </w:p>
    <w:p w:rsidR="00DD4C4F" w:rsidRPr="000C57F6" w:rsidRDefault="00DD4C4F" w:rsidP="00DD4C4F">
      <w:pPr>
        <w:jc w:val="both"/>
        <w:rPr>
          <w:rFonts w:ascii="Verdana" w:hAnsi="Verdana" w:cs="Verdana"/>
          <w:b/>
          <w:i/>
          <w:sz w:val="24"/>
        </w:rPr>
      </w:pPr>
      <w:r w:rsidRPr="000C57F6">
        <w:rPr>
          <w:rFonts w:ascii="Verdana" w:hAnsi="Verdana" w:cs="Verdana"/>
          <w:b/>
          <w:i/>
          <w:sz w:val="24"/>
          <w:u w:val="single"/>
        </w:rPr>
        <w:lastRenderedPageBreak/>
        <w:t>Online Tutorial tasks</w:t>
      </w:r>
      <w:r w:rsidRPr="000C57F6">
        <w:rPr>
          <w:rFonts w:ascii="Verdana" w:hAnsi="Verdana" w:cs="Verdana"/>
          <w:b/>
          <w:i/>
          <w:sz w:val="24"/>
        </w:rPr>
        <w:t>:</w:t>
      </w:r>
    </w:p>
    <w:p w:rsidR="00DD4C4F" w:rsidRPr="000C57F6" w:rsidRDefault="00DD4C4F" w:rsidP="00DD4C4F">
      <w:pPr>
        <w:jc w:val="both"/>
        <w:rPr>
          <w:rFonts w:ascii="Verdana" w:hAnsi="Verdana"/>
          <w:sz w:val="24"/>
          <w:lang w:eastAsia="en-GB"/>
        </w:rPr>
      </w:pPr>
    </w:p>
    <w:p w:rsidR="00DD4C4F" w:rsidRPr="000C57F6" w:rsidRDefault="00DD4C4F" w:rsidP="00DD4C4F">
      <w:pPr>
        <w:jc w:val="both"/>
        <w:rPr>
          <w:rFonts w:ascii="Verdana" w:hAnsi="Verdana"/>
          <w:sz w:val="24"/>
          <w:lang w:eastAsia="en-GB"/>
        </w:rPr>
      </w:pPr>
    </w:p>
    <w:p w:rsidR="00DD4C4F" w:rsidRPr="000C57F6" w:rsidRDefault="00DD4C4F" w:rsidP="00DD4C4F">
      <w:pPr>
        <w:numPr>
          <w:ilvl w:val="0"/>
          <w:numId w:val="2"/>
        </w:numPr>
        <w:jc w:val="both"/>
        <w:rPr>
          <w:rFonts w:ascii="Verdana" w:hAnsi="Verdana"/>
          <w:iCs/>
          <w:sz w:val="24"/>
        </w:rPr>
      </w:pPr>
      <w:r w:rsidRPr="000C57F6">
        <w:rPr>
          <w:rFonts w:ascii="Verdana" w:hAnsi="Verdana"/>
          <w:sz w:val="24"/>
          <w:lang w:eastAsia="en-GB"/>
        </w:rPr>
        <w:t xml:space="preserve">Review the Report you prepared in Online Tutorial 4 on the </w:t>
      </w:r>
      <w:r w:rsidRPr="000C57F6">
        <w:rPr>
          <w:rFonts w:ascii="Verdana" w:hAnsi="Verdana"/>
          <w:iCs/>
          <w:sz w:val="24"/>
        </w:rPr>
        <w:t xml:space="preserve">United States – Standards for Reformulated and Conventional </w:t>
      </w:r>
      <w:proofErr w:type="gramStart"/>
      <w:r w:rsidRPr="000C57F6">
        <w:rPr>
          <w:rFonts w:ascii="Verdana" w:hAnsi="Verdana"/>
          <w:iCs/>
          <w:sz w:val="24"/>
        </w:rPr>
        <w:t>Gasoline  Case</w:t>
      </w:r>
      <w:proofErr w:type="gramEnd"/>
      <w:r w:rsidRPr="000C57F6">
        <w:rPr>
          <w:rFonts w:ascii="Verdana" w:hAnsi="Verdana"/>
          <w:iCs/>
          <w:sz w:val="24"/>
        </w:rPr>
        <w:t>. The key findings of the Panel were that the US measure:</w:t>
      </w:r>
    </w:p>
    <w:p w:rsidR="00DD4C4F" w:rsidRPr="000C57F6" w:rsidRDefault="00DD4C4F" w:rsidP="00DD4C4F">
      <w:pPr>
        <w:numPr>
          <w:ilvl w:val="0"/>
          <w:numId w:val="3"/>
        </w:numPr>
        <w:autoSpaceDE w:val="0"/>
        <w:autoSpaceDN w:val="0"/>
        <w:adjustRightInd w:val="0"/>
        <w:jc w:val="both"/>
        <w:rPr>
          <w:rFonts w:ascii="Verdana" w:eastAsia="Calibri" w:hAnsi="Verdana" w:cs="FrutigerLTStd-Light"/>
          <w:sz w:val="24"/>
        </w:rPr>
      </w:pPr>
      <w:r w:rsidRPr="000C57F6">
        <w:rPr>
          <w:rFonts w:ascii="Verdana" w:hAnsi="Verdana"/>
          <w:iCs/>
          <w:sz w:val="24"/>
        </w:rPr>
        <w:t xml:space="preserve">Breached </w:t>
      </w:r>
      <w:r w:rsidRPr="000C57F6">
        <w:rPr>
          <w:rFonts w:ascii="Verdana" w:eastAsia="Calibri" w:hAnsi="Verdana" w:cs="FrutigerLTStd-Light"/>
          <w:sz w:val="24"/>
        </w:rPr>
        <w:t xml:space="preserve">GATT Art. III:4 (national treatment): </w:t>
      </w:r>
    </w:p>
    <w:p w:rsidR="00DD4C4F" w:rsidRPr="000C57F6" w:rsidRDefault="00DD4C4F" w:rsidP="00DD4C4F">
      <w:pPr>
        <w:numPr>
          <w:ilvl w:val="0"/>
          <w:numId w:val="3"/>
        </w:numPr>
        <w:autoSpaceDE w:val="0"/>
        <w:autoSpaceDN w:val="0"/>
        <w:adjustRightInd w:val="0"/>
        <w:jc w:val="both"/>
        <w:rPr>
          <w:rFonts w:ascii="Verdana" w:eastAsia="Calibri" w:hAnsi="Verdana" w:cs="FrutigerLTStd-Light"/>
          <w:sz w:val="24"/>
        </w:rPr>
      </w:pPr>
      <w:r w:rsidRPr="000C57F6">
        <w:rPr>
          <w:rFonts w:ascii="Verdana" w:eastAsia="Calibri" w:hAnsi="Verdana" w:cs="FrutigerLTStd-Light"/>
          <w:sz w:val="24"/>
        </w:rPr>
        <w:t>It was not justified by Art. XX because the discriminatory aspect of the measure constituted "unjustifiable discrimination" and a "disguised restriction on international trade" under Art. XX.</w:t>
      </w:r>
    </w:p>
    <w:p w:rsidR="00DD4C4F" w:rsidRPr="000C57F6" w:rsidRDefault="00DD4C4F" w:rsidP="00DD4C4F">
      <w:pPr>
        <w:autoSpaceDE w:val="0"/>
        <w:autoSpaceDN w:val="0"/>
        <w:adjustRightInd w:val="0"/>
        <w:jc w:val="both"/>
        <w:rPr>
          <w:rFonts w:ascii="Verdana" w:hAnsi="Verdana"/>
          <w:sz w:val="24"/>
        </w:rPr>
      </w:pPr>
    </w:p>
    <w:p w:rsidR="00DD4C4F" w:rsidRPr="000C57F6" w:rsidRDefault="00DD4C4F" w:rsidP="00DD4C4F">
      <w:pPr>
        <w:ind w:left="720"/>
        <w:jc w:val="both"/>
        <w:rPr>
          <w:rFonts w:ascii="Verdana" w:hAnsi="Verdana"/>
          <w:sz w:val="24"/>
        </w:rPr>
      </w:pPr>
      <w:r w:rsidRPr="000C57F6">
        <w:rPr>
          <w:rFonts w:ascii="Verdana" w:hAnsi="Verdana"/>
          <w:sz w:val="24"/>
        </w:rPr>
        <w:t>How far do you think this decision restricts the rights of Members of the WTO to legislate in order to protect the health and safety of its citizens?</w:t>
      </w:r>
    </w:p>
    <w:p w:rsidR="00DD4C4F" w:rsidRPr="000C57F6" w:rsidRDefault="00DD4C4F" w:rsidP="00DD4C4F">
      <w:pPr>
        <w:ind w:left="360"/>
        <w:jc w:val="both"/>
        <w:rPr>
          <w:rFonts w:ascii="Verdana" w:hAnsi="Verdana"/>
          <w:sz w:val="24"/>
        </w:rPr>
      </w:pPr>
    </w:p>
    <w:p w:rsidR="00DD4C4F" w:rsidRPr="000C57F6" w:rsidRDefault="00DD4C4F" w:rsidP="00DD4C4F">
      <w:pPr>
        <w:ind w:left="360"/>
        <w:jc w:val="both"/>
        <w:rPr>
          <w:rFonts w:ascii="Verdana" w:hAnsi="Verdana"/>
          <w:sz w:val="24"/>
        </w:rPr>
      </w:pPr>
    </w:p>
    <w:p w:rsidR="00DD4C4F" w:rsidRPr="000C57F6" w:rsidRDefault="00DD4C4F" w:rsidP="00DD4C4F">
      <w:pPr>
        <w:numPr>
          <w:ilvl w:val="0"/>
          <w:numId w:val="2"/>
        </w:numPr>
        <w:spacing w:before="100" w:beforeAutospacing="1" w:after="100" w:afterAutospacing="1"/>
        <w:ind w:left="360"/>
        <w:rPr>
          <w:rFonts w:ascii="Verdana" w:hAnsi="Verdana" w:cs="Times New Roman"/>
          <w:sz w:val="24"/>
          <w:lang w:eastAsia="en-GB"/>
        </w:rPr>
      </w:pPr>
      <w:r w:rsidRPr="000C57F6">
        <w:rPr>
          <w:rFonts w:ascii="Verdana" w:hAnsi="Verdana"/>
          <w:sz w:val="24"/>
          <w:lang w:eastAsia="en-GB"/>
        </w:rPr>
        <w:t xml:space="preserve">Look at the Extract of the Appellate Body </w:t>
      </w:r>
      <w:proofErr w:type="gramStart"/>
      <w:r w:rsidRPr="000C57F6">
        <w:rPr>
          <w:rFonts w:ascii="Verdana" w:hAnsi="Verdana"/>
          <w:sz w:val="24"/>
          <w:lang w:eastAsia="en-GB"/>
        </w:rPr>
        <w:t>Report  -</w:t>
      </w:r>
      <w:proofErr w:type="gramEnd"/>
      <w:r w:rsidRPr="000C57F6">
        <w:rPr>
          <w:rFonts w:ascii="Verdana" w:hAnsi="Verdana"/>
          <w:sz w:val="24"/>
          <w:lang w:eastAsia="en-GB"/>
        </w:rPr>
        <w:t xml:space="preserve">  </w:t>
      </w:r>
      <w:r w:rsidRPr="000C57F6">
        <w:rPr>
          <w:rFonts w:ascii="Verdana" w:hAnsi="Verdana" w:cs="Times New Roman"/>
          <w:sz w:val="24"/>
          <w:lang w:eastAsia="en-GB"/>
        </w:rPr>
        <w:t xml:space="preserve">EC MEASURES CONCERNING MEAT AND MEAT PRODUCTS (HORMONES) WT/DS48/AB/R (Available at </w:t>
      </w:r>
      <w:hyperlink r:id="rId9" w:history="1">
        <w:r w:rsidRPr="000C57F6">
          <w:rPr>
            <w:rStyle w:val="Hyperlink"/>
            <w:rFonts w:ascii="Verdana" w:hAnsi="Verdana" w:cs="Times New Roman"/>
            <w:sz w:val="24"/>
            <w:lang w:eastAsia="en-GB"/>
          </w:rPr>
          <w:t>http://worldtradelaw.net/reports/wtoab/ec-hormones(ab).pdf</w:t>
        </w:r>
      </w:hyperlink>
      <w:r w:rsidRPr="000C57F6">
        <w:rPr>
          <w:rFonts w:ascii="Verdana" w:hAnsi="Verdana" w:cs="Times New Roman"/>
          <w:sz w:val="24"/>
          <w:lang w:eastAsia="en-GB"/>
        </w:rPr>
        <w:t xml:space="preserve"> ).</w:t>
      </w:r>
    </w:p>
    <w:p w:rsidR="00DD4C4F" w:rsidRPr="000C57F6" w:rsidRDefault="00DD4C4F" w:rsidP="00DD4C4F">
      <w:pPr>
        <w:ind w:left="360" w:firstLine="360"/>
        <w:jc w:val="both"/>
        <w:rPr>
          <w:rFonts w:ascii="Verdana" w:hAnsi="Verdana"/>
          <w:sz w:val="24"/>
          <w:lang w:eastAsia="en-GB"/>
        </w:rPr>
      </w:pPr>
      <w:r>
        <w:rPr>
          <w:rFonts w:ascii="Verdana" w:hAnsi="Verdana"/>
          <w:sz w:val="24"/>
          <w:lang w:eastAsia="en-GB"/>
        </w:rPr>
        <w:t>E</w:t>
      </w:r>
      <w:r w:rsidRPr="000C57F6">
        <w:rPr>
          <w:rFonts w:ascii="Verdana" w:hAnsi="Verdana"/>
          <w:sz w:val="24"/>
          <w:lang w:eastAsia="en-GB"/>
        </w:rPr>
        <w:t xml:space="preserve">xplain: </w:t>
      </w:r>
    </w:p>
    <w:p w:rsidR="00DD4C4F" w:rsidRPr="000C57F6" w:rsidRDefault="00DD4C4F" w:rsidP="00DD4C4F">
      <w:pPr>
        <w:pStyle w:val="ListParagraph"/>
        <w:numPr>
          <w:ilvl w:val="0"/>
          <w:numId w:val="4"/>
        </w:numPr>
        <w:jc w:val="both"/>
        <w:rPr>
          <w:rFonts w:ascii="Verdana" w:hAnsi="Verdana"/>
          <w:sz w:val="24"/>
          <w:lang w:eastAsia="en-GB"/>
        </w:rPr>
      </w:pPr>
      <w:proofErr w:type="gramStart"/>
      <w:r w:rsidRPr="000C57F6">
        <w:rPr>
          <w:rFonts w:ascii="Verdana" w:hAnsi="Verdana"/>
          <w:sz w:val="24"/>
          <w:lang w:eastAsia="en-GB"/>
        </w:rPr>
        <w:t>what</w:t>
      </w:r>
      <w:proofErr w:type="gramEnd"/>
      <w:r w:rsidRPr="000C57F6">
        <w:rPr>
          <w:rFonts w:ascii="Verdana" w:hAnsi="Verdana"/>
          <w:sz w:val="24"/>
          <w:lang w:eastAsia="en-GB"/>
        </w:rPr>
        <w:t xml:space="preserve"> was the dispute which gave rise to this case? </w:t>
      </w:r>
      <w:proofErr w:type="gramStart"/>
      <w:r w:rsidRPr="000C57F6">
        <w:rPr>
          <w:rFonts w:ascii="Verdana" w:hAnsi="Verdana"/>
          <w:sz w:val="24"/>
          <w:lang w:eastAsia="en-GB"/>
        </w:rPr>
        <w:t>i.e</w:t>
      </w:r>
      <w:proofErr w:type="gramEnd"/>
      <w:r w:rsidRPr="000C57F6">
        <w:rPr>
          <w:rFonts w:ascii="Verdana" w:hAnsi="Verdana"/>
          <w:sz w:val="24"/>
          <w:lang w:eastAsia="en-GB"/>
        </w:rPr>
        <w:t>. who was the complainant and in what way did they allege that they had been disadvantaged?</w:t>
      </w:r>
    </w:p>
    <w:p w:rsidR="00DD4C4F" w:rsidRPr="000C57F6" w:rsidRDefault="00DD4C4F" w:rsidP="00DD4C4F">
      <w:pPr>
        <w:ind w:left="1440"/>
        <w:jc w:val="both"/>
        <w:rPr>
          <w:rFonts w:ascii="Verdana" w:hAnsi="Verdana"/>
          <w:sz w:val="24"/>
          <w:lang w:eastAsia="en-GB"/>
        </w:rPr>
      </w:pPr>
    </w:p>
    <w:p w:rsidR="00DD4C4F" w:rsidRPr="000C57F6" w:rsidRDefault="00DD4C4F" w:rsidP="00DD4C4F">
      <w:pPr>
        <w:pStyle w:val="ListParagraph"/>
        <w:numPr>
          <w:ilvl w:val="0"/>
          <w:numId w:val="4"/>
        </w:numPr>
        <w:jc w:val="both"/>
        <w:rPr>
          <w:rFonts w:ascii="Verdana" w:hAnsi="Verdana"/>
          <w:sz w:val="24"/>
          <w:lang w:eastAsia="en-GB"/>
        </w:rPr>
      </w:pPr>
      <w:r w:rsidRPr="000C57F6">
        <w:rPr>
          <w:rFonts w:ascii="Verdana" w:hAnsi="Verdana"/>
          <w:sz w:val="24"/>
          <w:lang w:eastAsia="en-GB"/>
        </w:rPr>
        <w:t>what articles/agreements of the GATT and SPS were relevant to this dispute</w:t>
      </w:r>
    </w:p>
    <w:p w:rsidR="00DD4C4F" w:rsidRPr="000C57F6" w:rsidRDefault="00DD4C4F" w:rsidP="00DD4C4F">
      <w:pPr>
        <w:pStyle w:val="ListParagraph"/>
        <w:jc w:val="both"/>
        <w:rPr>
          <w:rFonts w:ascii="Verdana" w:hAnsi="Verdana"/>
          <w:sz w:val="24"/>
          <w:lang w:eastAsia="en-GB"/>
        </w:rPr>
      </w:pPr>
    </w:p>
    <w:p w:rsidR="00DD4C4F" w:rsidRPr="000C57F6" w:rsidRDefault="00DD4C4F" w:rsidP="00DD4C4F">
      <w:pPr>
        <w:pStyle w:val="ListParagraph"/>
        <w:numPr>
          <w:ilvl w:val="0"/>
          <w:numId w:val="4"/>
        </w:numPr>
        <w:jc w:val="both"/>
        <w:rPr>
          <w:rFonts w:ascii="Verdana" w:hAnsi="Verdana"/>
          <w:sz w:val="24"/>
          <w:lang w:eastAsia="en-GB"/>
        </w:rPr>
      </w:pPr>
      <w:proofErr w:type="gramStart"/>
      <w:r w:rsidRPr="000C57F6">
        <w:rPr>
          <w:rFonts w:ascii="Verdana" w:hAnsi="Verdana"/>
          <w:sz w:val="24"/>
          <w:lang w:eastAsia="en-GB"/>
        </w:rPr>
        <w:t>what</w:t>
      </w:r>
      <w:proofErr w:type="gramEnd"/>
      <w:r w:rsidRPr="000C57F6">
        <w:rPr>
          <w:rFonts w:ascii="Verdana" w:hAnsi="Verdana"/>
          <w:sz w:val="24"/>
          <w:lang w:eastAsia="en-GB"/>
        </w:rPr>
        <w:t xml:space="preserve"> were the AB’s conclusions?</w:t>
      </w:r>
    </w:p>
    <w:p w:rsidR="00DD4C4F" w:rsidRPr="000C57F6" w:rsidRDefault="00DD4C4F" w:rsidP="00DD4C4F">
      <w:pPr>
        <w:pStyle w:val="ListParagraph"/>
        <w:rPr>
          <w:rFonts w:ascii="Verdana" w:hAnsi="Verdana"/>
          <w:sz w:val="24"/>
          <w:lang w:eastAsia="en-GB"/>
        </w:rPr>
      </w:pPr>
    </w:p>
    <w:p w:rsidR="00DD4C4F" w:rsidRPr="000C57F6" w:rsidRDefault="00DD4C4F" w:rsidP="00DD4C4F">
      <w:pPr>
        <w:pStyle w:val="ListParagraph"/>
        <w:ind w:left="780"/>
        <w:jc w:val="both"/>
        <w:rPr>
          <w:rFonts w:ascii="Verdana" w:hAnsi="Verdana"/>
          <w:sz w:val="24"/>
        </w:rPr>
      </w:pPr>
    </w:p>
    <w:p w:rsidR="00DD4C4F" w:rsidRPr="000C57F6" w:rsidRDefault="00DD4C4F" w:rsidP="00DD4C4F">
      <w:pPr>
        <w:ind w:left="720"/>
        <w:jc w:val="both"/>
        <w:rPr>
          <w:rFonts w:ascii="Verdana" w:hAnsi="Verdana"/>
          <w:sz w:val="24"/>
        </w:rPr>
      </w:pPr>
    </w:p>
    <w:p w:rsidR="003A0FCD" w:rsidRPr="000C57F6" w:rsidRDefault="003A0FCD" w:rsidP="003A0FCD">
      <w:pPr>
        <w:pStyle w:val="ListParagraph"/>
        <w:numPr>
          <w:ilvl w:val="0"/>
          <w:numId w:val="2"/>
        </w:numPr>
        <w:ind w:left="360"/>
        <w:jc w:val="both"/>
        <w:rPr>
          <w:rFonts w:ascii="Verdana" w:hAnsi="Verdana"/>
          <w:sz w:val="24"/>
        </w:rPr>
      </w:pPr>
      <w:r w:rsidRPr="003A0FCD">
        <w:rPr>
          <w:rFonts w:ascii="Verdana" w:hAnsi="Verdana"/>
          <w:b/>
          <w:sz w:val="28"/>
          <w:szCs w:val="28"/>
          <w:u w:val="single"/>
        </w:rPr>
        <w:t>Non-assessed Forum:</w:t>
      </w:r>
      <w:r w:rsidRPr="003A0FCD">
        <w:rPr>
          <w:rFonts w:ascii="Verdana" w:hAnsi="Verdana"/>
          <w:sz w:val="24"/>
        </w:rPr>
        <w:t xml:space="preserve"> Participate in the forum discussion via MOODLE on the question below. Prepare and upload a short answer (maximum </w:t>
      </w:r>
      <w:r>
        <w:rPr>
          <w:rFonts w:ascii="Verdana" w:hAnsi="Verdana"/>
          <w:sz w:val="24"/>
        </w:rPr>
        <w:t>5</w:t>
      </w:r>
      <w:r w:rsidRPr="003A0FCD">
        <w:rPr>
          <w:rFonts w:ascii="Verdana" w:hAnsi="Verdana"/>
          <w:sz w:val="24"/>
        </w:rPr>
        <w:t>00 words) on the MOODLE discussion board; read and comment on your peer’s answers.</w:t>
      </w:r>
    </w:p>
    <w:p w:rsidR="00DD4C4F" w:rsidRPr="000C57F6" w:rsidRDefault="00DD4C4F" w:rsidP="003A0FCD">
      <w:pPr>
        <w:ind w:left="360"/>
        <w:jc w:val="both"/>
        <w:rPr>
          <w:rFonts w:ascii="Verdana" w:hAnsi="Verdana"/>
          <w:sz w:val="24"/>
        </w:rPr>
      </w:pPr>
    </w:p>
    <w:p w:rsidR="00DD4C4F" w:rsidRPr="000C57F6" w:rsidRDefault="00DD4C4F" w:rsidP="00DD4C4F">
      <w:pPr>
        <w:ind w:left="720"/>
        <w:jc w:val="both"/>
        <w:rPr>
          <w:rFonts w:ascii="Verdana" w:hAnsi="Verdana"/>
          <w:sz w:val="24"/>
        </w:rPr>
      </w:pPr>
      <w:r w:rsidRPr="000C57F6">
        <w:rPr>
          <w:rFonts w:ascii="Verdana" w:hAnsi="Verdana"/>
          <w:sz w:val="24"/>
        </w:rPr>
        <w:t xml:space="preserve">Advice, supporting your arguments with the relevant WTO provisions, what would be the implications under the WTO Agreements of introducing </w:t>
      </w:r>
      <w:r w:rsidR="003A0FCD">
        <w:rPr>
          <w:rFonts w:ascii="Verdana" w:hAnsi="Verdana"/>
          <w:sz w:val="24"/>
        </w:rPr>
        <w:t>the following measure</w:t>
      </w:r>
      <w:r w:rsidRPr="000C57F6">
        <w:rPr>
          <w:rFonts w:ascii="Verdana" w:hAnsi="Verdana"/>
          <w:sz w:val="24"/>
        </w:rPr>
        <w:t xml:space="preserve"> in relation to Genetically Modified (GM) foods:</w:t>
      </w:r>
      <w:r w:rsidR="003A0FCD">
        <w:rPr>
          <w:rFonts w:ascii="Verdana" w:hAnsi="Verdana"/>
          <w:sz w:val="24"/>
        </w:rPr>
        <w:t xml:space="preserve"> </w:t>
      </w:r>
      <w:r w:rsidRPr="000C57F6">
        <w:rPr>
          <w:rFonts w:ascii="Verdana" w:hAnsi="Verdana"/>
          <w:sz w:val="24"/>
        </w:rPr>
        <w:t>a prohibition of the sale or importation of any food products containing GM ingredients, on the grounds of their untested nature a</w:t>
      </w:r>
      <w:r w:rsidR="003A0FCD">
        <w:rPr>
          <w:rFonts w:ascii="Verdana" w:hAnsi="Verdana"/>
          <w:sz w:val="24"/>
        </w:rPr>
        <w:t>nd potential dangers for health.</w:t>
      </w:r>
    </w:p>
    <w:p w:rsidR="00DD4C4F" w:rsidRPr="000C57F6" w:rsidRDefault="00DD4C4F" w:rsidP="00DD4C4F">
      <w:pPr>
        <w:jc w:val="both"/>
        <w:rPr>
          <w:rFonts w:ascii="Verdana" w:hAnsi="Verdana"/>
          <w:sz w:val="24"/>
        </w:rPr>
      </w:pPr>
      <w:r w:rsidRPr="000C57F6">
        <w:rPr>
          <w:rFonts w:ascii="Verdana" w:hAnsi="Verdana"/>
          <w:sz w:val="24"/>
        </w:rPr>
        <w:lastRenderedPageBreak/>
        <w:t xml:space="preserve">The following information on </w:t>
      </w:r>
      <w:r w:rsidRPr="000C57F6">
        <w:rPr>
          <w:rFonts w:ascii="Verdana" w:hAnsi="Verdana"/>
          <w:sz w:val="24"/>
          <w:u w:val="single"/>
        </w:rPr>
        <w:t>answering problem type scenario questions</w:t>
      </w:r>
      <w:r w:rsidRPr="000C57F6">
        <w:rPr>
          <w:rFonts w:ascii="Verdana" w:hAnsi="Verdana"/>
          <w:sz w:val="24"/>
        </w:rPr>
        <w:t xml:space="preserve"> might be useful in preparing and structuring your answer. </w:t>
      </w:r>
    </w:p>
    <w:p w:rsidR="00DD4C4F" w:rsidRPr="000C57F6" w:rsidRDefault="00DD4C4F" w:rsidP="00DD4C4F">
      <w:pPr>
        <w:jc w:val="both"/>
        <w:rPr>
          <w:rFonts w:ascii="Verdana" w:hAnsi="Verdana"/>
          <w:sz w:val="24"/>
        </w:rPr>
      </w:pPr>
    </w:p>
    <w:p w:rsidR="00DD4C4F" w:rsidRPr="000C57F6" w:rsidRDefault="00DD4C4F" w:rsidP="00DD4C4F">
      <w:pPr>
        <w:jc w:val="both"/>
        <w:rPr>
          <w:rFonts w:ascii="Verdana" w:hAnsi="Verdana"/>
          <w:sz w:val="24"/>
        </w:rPr>
      </w:pPr>
      <w:r w:rsidRPr="000C57F6">
        <w:rPr>
          <w:rFonts w:ascii="Verdana" w:hAnsi="Verdana"/>
          <w:sz w:val="24"/>
        </w:rPr>
        <w:t>General Guidance</w:t>
      </w:r>
    </w:p>
    <w:p w:rsidR="00DD4C4F" w:rsidRPr="000C57F6" w:rsidRDefault="00DD4C4F" w:rsidP="00DD4C4F">
      <w:pPr>
        <w:numPr>
          <w:ilvl w:val="0"/>
          <w:numId w:val="5"/>
        </w:numPr>
        <w:jc w:val="both"/>
        <w:rPr>
          <w:rFonts w:ascii="Verdana" w:hAnsi="Verdana"/>
          <w:sz w:val="24"/>
        </w:rPr>
      </w:pPr>
      <w:r w:rsidRPr="000C57F6">
        <w:rPr>
          <w:rFonts w:ascii="Verdana" w:hAnsi="Verdana"/>
          <w:sz w:val="24"/>
        </w:rPr>
        <w:t xml:space="preserve">Identify legal issues in an appropriate and methodical way; what does this mean? </w:t>
      </w:r>
    </w:p>
    <w:p w:rsidR="00DD4C4F" w:rsidRPr="000C57F6" w:rsidRDefault="00DD4C4F" w:rsidP="00DD4C4F">
      <w:pPr>
        <w:numPr>
          <w:ilvl w:val="0"/>
          <w:numId w:val="5"/>
        </w:numPr>
        <w:jc w:val="both"/>
        <w:rPr>
          <w:rFonts w:ascii="Verdana" w:hAnsi="Verdana"/>
          <w:sz w:val="24"/>
        </w:rPr>
      </w:pPr>
      <w:r w:rsidRPr="000C57F6">
        <w:rPr>
          <w:rFonts w:ascii="Verdana" w:hAnsi="Verdana"/>
          <w:sz w:val="24"/>
        </w:rPr>
        <w:t>Provide a structure for your answer. It’s important to present information in a clear and concise manner. If you are asked to consider the situation of more than one party, it is often best to deal with each of the parties separately and completely in the order they appear on the facts.</w:t>
      </w:r>
    </w:p>
    <w:p w:rsidR="00DD4C4F" w:rsidRPr="000C57F6" w:rsidRDefault="00DD4C4F" w:rsidP="00DD4C4F">
      <w:pPr>
        <w:numPr>
          <w:ilvl w:val="0"/>
          <w:numId w:val="5"/>
        </w:numPr>
        <w:jc w:val="both"/>
        <w:rPr>
          <w:rFonts w:ascii="Verdana" w:hAnsi="Verdana"/>
          <w:sz w:val="24"/>
        </w:rPr>
      </w:pPr>
      <w:r w:rsidRPr="000C57F6">
        <w:rPr>
          <w:rFonts w:ascii="Verdana" w:hAnsi="Verdana"/>
          <w:sz w:val="24"/>
        </w:rPr>
        <w:t xml:space="preserve">Provide a balance. Make sure you relate your answer to the question. Always write the answer to the question that has been asked. </w:t>
      </w:r>
    </w:p>
    <w:p w:rsidR="00DD4C4F" w:rsidRPr="000C57F6" w:rsidRDefault="00DD4C4F" w:rsidP="00DD4C4F">
      <w:pPr>
        <w:numPr>
          <w:ilvl w:val="0"/>
          <w:numId w:val="5"/>
        </w:numPr>
        <w:jc w:val="both"/>
        <w:rPr>
          <w:rFonts w:ascii="Verdana" w:hAnsi="Verdana"/>
          <w:sz w:val="24"/>
        </w:rPr>
      </w:pPr>
      <w:r w:rsidRPr="000C57F6">
        <w:rPr>
          <w:rFonts w:ascii="Verdana" w:hAnsi="Verdana"/>
          <w:sz w:val="24"/>
        </w:rPr>
        <w:t xml:space="preserve">Apply the law to the facts. Do not invent facts that have been left out. Do not speculate. If there is ambiguity it is on purpose to allow you to talk about the alternatives. If you don’t know all the relevant information say so and briefly talk about the alternatives. </w:t>
      </w:r>
    </w:p>
    <w:p w:rsidR="00DD4C4F" w:rsidRPr="000C57F6" w:rsidRDefault="00DD4C4F" w:rsidP="00DD4C4F">
      <w:pPr>
        <w:jc w:val="both"/>
        <w:rPr>
          <w:rFonts w:ascii="Verdana" w:hAnsi="Verdana"/>
          <w:sz w:val="24"/>
        </w:rPr>
      </w:pPr>
    </w:p>
    <w:p w:rsidR="00DD4C4F" w:rsidRPr="000C57F6" w:rsidRDefault="00DD4C4F" w:rsidP="00DD4C4F">
      <w:pPr>
        <w:jc w:val="both"/>
        <w:rPr>
          <w:rFonts w:ascii="Verdana" w:hAnsi="Verdana"/>
          <w:b/>
          <w:sz w:val="24"/>
        </w:rPr>
      </w:pPr>
      <w:proofErr w:type="gramStart"/>
      <w:r w:rsidRPr="000C57F6">
        <w:rPr>
          <w:rFonts w:ascii="Verdana" w:hAnsi="Verdana"/>
          <w:b/>
          <w:sz w:val="24"/>
        </w:rPr>
        <w:t>I.R.A.C.</w:t>
      </w:r>
      <w:proofErr w:type="gramEnd"/>
      <w:r w:rsidRPr="000C57F6">
        <w:rPr>
          <w:rFonts w:ascii="Verdana" w:hAnsi="Verdana"/>
          <w:b/>
          <w:sz w:val="24"/>
        </w:rPr>
        <w:t xml:space="preserve"> </w:t>
      </w:r>
    </w:p>
    <w:p w:rsidR="00DD4C4F" w:rsidRPr="000C57F6" w:rsidRDefault="00DD4C4F" w:rsidP="00DD4C4F">
      <w:pPr>
        <w:jc w:val="both"/>
        <w:rPr>
          <w:rFonts w:ascii="Verdana" w:hAnsi="Verdana"/>
          <w:sz w:val="24"/>
        </w:rPr>
      </w:pPr>
      <w:r w:rsidRPr="000C57F6">
        <w:rPr>
          <w:rFonts w:ascii="Verdana" w:hAnsi="Verdana"/>
          <w:b/>
          <w:sz w:val="24"/>
        </w:rPr>
        <w:t>I</w:t>
      </w:r>
      <w:r w:rsidRPr="000C57F6">
        <w:rPr>
          <w:rFonts w:ascii="Verdana" w:hAnsi="Verdana"/>
          <w:sz w:val="24"/>
        </w:rPr>
        <w:t>SSUE: Identify the issues in a problem</w:t>
      </w:r>
    </w:p>
    <w:p w:rsidR="00DD4C4F" w:rsidRPr="000C57F6" w:rsidRDefault="00DD4C4F" w:rsidP="00DD4C4F">
      <w:pPr>
        <w:jc w:val="both"/>
        <w:rPr>
          <w:rFonts w:ascii="Verdana" w:hAnsi="Verdana"/>
          <w:sz w:val="24"/>
        </w:rPr>
      </w:pPr>
      <w:r w:rsidRPr="000C57F6">
        <w:rPr>
          <w:rFonts w:ascii="Verdana" w:hAnsi="Verdana"/>
          <w:b/>
          <w:sz w:val="24"/>
        </w:rPr>
        <w:t>R</w:t>
      </w:r>
      <w:r w:rsidRPr="000C57F6">
        <w:rPr>
          <w:rFonts w:ascii="Verdana" w:hAnsi="Verdana"/>
          <w:sz w:val="24"/>
        </w:rPr>
        <w:t>ULE OF LAW: State the principles of law involved</w:t>
      </w:r>
    </w:p>
    <w:p w:rsidR="00DD4C4F" w:rsidRPr="000C57F6" w:rsidRDefault="00DD4C4F" w:rsidP="00DD4C4F">
      <w:pPr>
        <w:jc w:val="both"/>
        <w:rPr>
          <w:rFonts w:ascii="Verdana" w:hAnsi="Verdana"/>
          <w:sz w:val="24"/>
        </w:rPr>
      </w:pPr>
      <w:r w:rsidRPr="000C57F6">
        <w:rPr>
          <w:rFonts w:ascii="Verdana" w:hAnsi="Verdana"/>
          <w:b/>
          <w:sz w:val="24"/>
        </w:rPr>
        <w:t>A</w:t>
      </w:r>
      <w:r w:rsidRPr="000C57F6">
        <w:rPr>
          <w:rFonts w:ascii="Verdana" w:hAnsi="Verdana"/>
          <w:sz w:val="24"/>
        </w:rPr>
        <w:t>PPLICATION: Apply the law to the facts of the particular problem</w:t>
      </w:r>
    </w:p>
    <w:p w:rsidR="00DD4C4F" w:rsidRPr="000C57F6" w:rsidRDefault="00DD4C4F" w:rsidP="00DD4C4F">
      <w:pPr>
        <w:jc w:val="both"/>
        <w:rPr>
          <w:rFonts w:ascii="Verdana" w:hAnsi="Verdana"/>
          <w:sz w:val="24"/>
        </w:rPr>
      </w:pPr>
      <w:r w:rsidRPr="000C57F6">
        <w:rPr>
          <w:rFonts w:ascii="Verdana" w:hAnsi="Verdana"/>
          <w:b/>
          <w:sz w:val="24"/>
        </w:rPr>
        <w:t>C</w:t>
      </w:r>
      <w:r w:rsidRPr="000C57F6">
        <w:rPr>
          <w:rFonts w:ascii="Verdana" w:hAnsi="Verdana"/>
          <w:sz w:val="24"/>
        </w:rPr>
        <w:t xml:space="preserve">ONCLUSION: Your conclusion should flow from your application of the law to the facts.       </w:t>
      </w:r>
    </w:p>
    <w:p w:rsidR="00DD4C4F" w:rsidRPr="000C57F6" w:rsidRDefault="00DD4C4F" w:rsidP="00DD4C4F">
      <w:pPr>
        <w:ind w:left="540" w:hanging="540"/>
        <w:jc w:val="both"/>
        <w:rPr>
          <w:rFonts w:ascii="Verdana" w:hAnsi="Verdana" w:cs="Verdana"/>
          <w:b/>
          <w:i/>
          <w:szCs w:val="22"/>
          <w:u w:val="single"/>
        </w:rPr>
      </w:pPr>
    </w:p>
    <w:p w:rsidR="00DD4C4F" w:rsidRPr="000C57F6" w:rsidRDefault="00DD4C4F" w:rsidP="00DD4C4F">
      <w:pPr>
        <w:ind w:left="540" w:hanging="540"/>
        <w:jc w:val="both"/>
        <w:rPr>
          <w:rFonts w:ascii="Verdana" w:hAnsi="Verdana" w:cs="Verdana"/>
          <w:b/>
          <w:i/>
          <w:szCs w:val="22"/>
          <w:u w:val="single"/>
        </w:rPr>
      </w:pPr>
    </w:p>
    <w:p w:rsidR="00DD4C4F" w:rsidRPr="000C57F6" w:rsidRDefault="00DD4C4F" w:rsidP="00DD4C4F">
      <w:pPr>
        <w:ind w:left="540" w:hanging="540"/>
        <w:jc w:val="both"/>
        <w:rPr>
          <w:rFonts w:ascii="Verdana" w:hAnsi="Verdana" w:cs="Verdana"/>
          <w:b/>
          <w:i/>
          <w:szCs w:val="22"/>
          <w:u w:val="single"/>
        </w:rPr>
      </w:pPr>
    </w:p>
    <w:p w:rsidR="00DD4C4F" w:rsidRDefault="00DD4C4F" w:rsidP="00DD4C4F">
      <w:pPr>
        <w:jc w:val="both"/>
        <w:rPr>
          <w:rFonts w:ascii="Verdana" w:hAnsi="Verdana" w:cs="Verdana"/>
          <w:b/>
          <w:i/>
          <w:sz w:val="24"/>
        </w:rPr>
      </w:pPr>
      <w:r w:rsidRPr="002F60C4">
        <w:rPr>
          <w:rFonts w:ascii="Verdana" w:hAnsi="Verdana" w:cs="Verdana"/>
          <w:b/>
          <w:i/>
          <w:sz w:val="24"/>
          <w:u w:val="single"/>
        </w:rPr>
        <w:t>In time for the final session</w:t>
      </w:r>
      <w:r w:rsidRPr="002F60C4">
        <w:rPr>
          <w:rFonts w:ascii="Verdana" w:hAnsi="Verdana" w:cs="Verdana"/>
          <w:b/>
          <w:i/>
          <w:sz w:val="24"/>
        </w:rPr>
        <w:t>:</w:t>
      </w:r>
    </w:p>
    <w:p w:rsidR="00DD4C4F" w:rsidRPr="002F60C4" w:rsidRDefault="00DD4C4F" w:rsidP="00DD4C4F">
      <w:pPr>
        <w:jc w:val="both"/>
        <w:rPr>
          <w:rFonts w:ascii="Verdana" w:hAnsi="Verdana" w:cs="Verdana"/>
          <w:b/>
          <w:sz w:val="28"/>
          <w:szCs w:val="28"/>
          <w:u w:val="single"/>
        </w:rPr>
      </w:pPr>
      <w:r w:rsidRPr="002F60C4">
        <w:rPr>
          <w:rFonts w:ascii="Verdana" w:hAnsi="Verdana" w:cs="Verdana"/>
          <w:sz w:val="24"/>
        </w:rPr>
        <w:t>Reflect on operation of general exceptions under the WTO rules. How easy is it for a</w:t>
      </w:r>
      <w:r>
        <w:rPr>
          <w:rFonts w:ascii="Verdana" w:hAnsi="Verdana" w:cs="Verdana"/>
          <w:sz w:val="24"/>
        </w:rPr>
        <w:t xml:space="preserve"> WTO</w:t>
      </w:r>
      <w:r w:rsidRPr="002F60C4">
        <w:rPr>
          <w:rFonts w:ascii="Verdana" w:hAnsi="Verdana" w:cs="Verdana"/>
          <w:sz w:val="24"/>
        </w:rPr>
        <w:t xml:space="preserve"> Member State to derogate from the Free Trade Principles? </w:t>
      </w:r>
    </w:p>
    <w:p w:rsidR="00DD4C4F" w:rsidRPr="000C57F6" w:rsidRDefault="00DD4C4F" w:rsidP="00DD4C4F">
      <w:pPr>
        <w:jc w:val="both"/>
        <w:rPr>
          <w:rFonts w:ascii="Verdana" w:hAnsi="Verdana" w:cs="Verdana"/>
          <w:b/>
          <w:sz w:val="28"/>
          <w:szCs w:val="28"/>
          <w:u w:val="single"/>
        </w:rPr>
      </w:pPr>
    </w:p>
    <w:p w:rsidR="00DD4C4F" w:rsidRPr="000C57F6" w:rsidRDefault="00DD4C4F" w:rsidP="00DD4C4F">
      <w:pPr>
        <w:jc w:val="both"/>
        <w:rPr>
          <w:rFonts w:ascii="Verdana" w:hAnsi="Verdana"/>
          <w:sz w:val="24"/>
          <w:lang w:eastAsia="en-GB"/>
        </w:rPr>
      </w:pPr>
    </w:p>
    <w:p w:rsidR="00DD4C4F" w:rsidRPr="000C57F6" w:rsidRDefault="00DD4C4F" w:rsidP="00DD4C4F">
      <w:pPr>
        <w:rPr>
          <w:rFonts w:ascii="Verdana" w:hAnsi="Verdana"/>
          <w:sz w:val="24"/>
        </w:rPr>
      </w:pPr>
    </w:p>
    <w:p w:rsidR="00DD4C4F" w:rsidRPr="000C57F6" w:rsidRDefault="00DD4C4F" w:rsidP="00DD4C4F">
      <w:pPr>
        <w:jc w:val="both"/>
        <w:rPr>
          <w:rFonts w:ascii="Verdana" w:hAnsi="Verdana" w:cs="Verdana"/>
          <w:b/>
          <w:sz w:val="28"/>
          <w:szCs w:val="28"/>
          <w:u w:val="single"/>
        </w:rPr>
      </w:pPr>
    </w:p>
    <w:p w:rsidR="00DD4C4F" w:rsidRPr="000C57F6" w:rsidRDefault="00DD4C4F" w:rsidP="00DD4C4F">
      <w:pPr>
        <w:jc w:val="both"/>
        <w:rPr>
          <w:rFonts w:ascii="Verdana" w:hAnsi="Verdana" w:cs="Verdana"/>
          <w:b/>
          <w:sz w:val="28"/>
          <w:szCs w:val="28"/>
          <w:u w:val="single"/>
        </w:rPr>
      </w:pPr>
    </w:p>
    <w:p w:rsidR="005825C6" w:rsidRDefault="005825C6"/>
    <w:sectPr w:rsidR="005825C6" w:rsidSect="005825C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FrutigerLTStd-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36425"/>
    <w:multiLevelType w:val="hybridMultilevel"/>
    <w:tmpl w:val="67CEAFD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443759A"/>
    <w:multiLevelType w:val="hybridMultilevel"/>
    <w:tmpl w:val="D01C54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570B7ECE"/>
    <w:multiLevelType w:val="hybridMultilevel"/>
    <w:tmpl w:val="D1FADB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5F824ACA"/>
    <w:multiLevelType w:val="hybridMultilevel"/>
    <w:tmpl w:val="C5E802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61F0A23"/>
    <w:multiLevelType w:val="hybridMultilevel"/>
    <w:tmpl w:val="0F52F95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nsid w:val="7EEE351D"/>
    <w:multiLevelType w:val="hybridMultilevel"/>
    <w:tmpl w:val="AD3455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5"/>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D4C4F"/>
    <w:rsid w:val="003A0FCD"/>
    <w:rsid w:val="005825C6"/>
    <w:rsid w:val="008007CF"/>
    <w:rsid w:val="008F42BF"/>
    <w:rsid w:val="00AE5776"/>
    <w:rsid w:val="00D14F97"/>
    <w:rsid w:val="00DD4C4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C4F"/>
    <w:pPr>
      <w:spacing w:after="0" w:line="240" w:lineRule="auto"/>
    </w:pPr>
    <w:rPr>
      <w:rFonts w:ascii="Arial" w:eastAsia="Times New Roman" w:hAnsi="Arial" w:cs="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D4C4F"/>
    <w:rPr>
      <w:color w:val="0000FF"/>
      <w:u w:val="single"/>
    </w:rPr>
  </w:style>
  <w:style w:type="paragraph" w:styleId="ListParagraph">
    <w:name w:val="List Paragraph"/>
    <w:basedOn w:val="Normal"/>
    <w:uiPriority w:val="34"/>
    <w:qFormat/>
    <w:rsid w:val="00DD4C4F"/>
    <w:pPr>
      <w:ind w:left="720"/>
      <w:contextualSpacing/>
    </w:pPr>
  </w:style>
</w:styles>
</file>

<file path=word/webSettings.xml><?xml version="1.0" encoding="utf-8"?>
<w:webSettings xmlns:r="http://schemas.openxmlformats.org/officeDocument/2006/relationships" xmlns:w="http://schemas.openxmlformats.org/wordprocessingml/2006/main">
  <w:divs>
    <w:div w:id="12462768">
      <w:bodyDiv w:val="1"/>
      <w:marLeft w:val="0"/>
      <w:marRight w:val="0"/>
      <w:marTop w:val="0"/>
      <w:marBottom w:val="0"/>
      <w:divBdr>
        <w:top w:val="none" w:sz="0" w:space="0" w:color="auto"/>
        <w:left w:val="none" w:sz="0" w:space="0" w:color="auto"/>
        <w:bottom w:val="none" w:sz="0" w:space="0" w:color="auto"/>
        <w:right w:val="none" w:sz="0" w:space="0" w:color="auto"/>
      </w:divBdr>
    </w:div>
    <w:div w:id="1095974341">
      <w:bodyDiv w:val="1"/>
      <w:marLeft w:val="0"/>
      <w:marRight w:val="0"/>
      <w:marTop w:val="0"/>
      <w:marBottom w:val="0"/>
      <w:divBdr>
        <w:top w:val="none" w:sz="0" w:space="0" w:color="auto"/>
        <w:left w:val="none" w:sz="0" w:space="0" w:color="auto"/>
        <w:bottom w:val="none" w:sz="0" w:space="0" w:color="auto"/>
        <w:right w:val="none" w:sz="0" w:space="0" w:color="auto"/>
      </w:divBdr>
    </w:div>
    <w:div w:id="205175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x.doi.org/10.2139/ssrn.1887205" TargetMode="External"/><Relationship Id="rId3" Type="http://schemas.openxmlformats.org/officeDocument/2006/relationships/settings" Target="settings.xml"/><Relationship Id="rId7" Type="http://schemas.openxmlformats.org/officeDocument/2006/relationships/hyperlink" Target="http://ssrn.com/abstract=19891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pers.ssrn.com/sol3/papers.cfm?abstract_id=1989186" TargetMode="External"/><Relationship Id="rId11" Type="http://schemas.openxmlformats.org/officeDocument/2006/relationships/theme" Target="theme/theme1.xml"/><Relationship Id="rId5" Type="http://schemas.openxmlformats.org/officeDocument/2006/relationships/hyperlink" Target="http://www.wto.org/english/docs_e/legal_e/legal_e.ht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orldtradelaw.net/reports/wtoab/ec-hormones(a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712</Words>
  <Characters>4064</Characters>
  <Application>Microsoft Office Word</Application>
  <DocSecurity>0</DocSecurity>
  <Lines>33</Lines>
  <Paragraphs>9</Paragraphs>
  <ScaleCrop>false</ScaleCrop>
  <Company>Leeds Metropolitan University</Company>
  <LinksUpToDate>false</LinksUpToDate>
  <CharactersWithSpaces>4767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dc:creator>
  <cp:lastModifiedBy>pavel</cp:lastModifiedBy>
  <cp:revision>3</cp:revision>
  <dcterms:created xsi:type="dcterms:W3CDTF">2012-09-15T10:07:00Z</dcterms:created>
  <dcterms:modified xsi:type="dcterms:W3CDTF">2012-09-16T09:08:00Z</dcterms:modified>
</cp:coreProperties>
</file>