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DF6" w:rsidRDefault="00674A5A">
      <w:pPr>
        <w:pStyle w:val="Standard"/>
        <w:jc w:val="both"/>
        <w:rPr>
          <w:b/>
          <w:bCs/>
          <w:lang w:val="ru-RU"/>
        </w:rPr>
      </w:pPr>
      <w:r>
        <w:rPr>
          <w:b/>
          <w:bCs/>
          <w:lang w:val="ru-RU"/>
        </w:rPr>
        <w:t>Глава «</w:t>
      </w:r>
      <w:r w:rsidR="00505580">
        <w:rPr>
          <w:b/>
          <w:bCs/>
          <w:lang w:val="ru-RU"/>
        </w:rPr>
        <w:t>Стадии имплементации</w:t>
      </w:r>
      <w:r>
        <w:rPr>
          <w:b/>
          <w:bCs/>
          <w:lang w:val="ru-RU"/>
        </w:rPr>
        <w:t>»</w:t>
      </w:r>
    </w:p>
    <w:p w:rsidR="00FA7DF6" w:rsidRDefault="00FA7DF6">
      <w:pPr>
        <w:pStyle w:val="Standard"/>
        <w:jc w:val="both"/>
        <w:rPr>
          <w:b/>
          <w:bCs/>
          <w:lang w:val="ru-RU"/>
        </w:rPr>
      </w:pPr>
    </w:p>
    <w:p w:rsidR="00FA7DF6" w:rsidRDefault="00505580">
      <w:pPr>
        <w:pStyle w:val="Standard"/>
        <w:jc w:val="both"/>
        <w:rPr>
          <w:b/>
          <w:bCs/>
          <w:lang w:val="ru-RU"/>
        </w:rPr>
      </w:pPr>
      <w:r>
        <w:rPr>
          <w:b/>
          <w:bCs/>
          <w:lang w:val="ru-RU"/>
        </w:rPr>
        <w:t>Международный уровень имплементации</w:t>
      </w:r>
    </w:p>
    <w:p w:rsidR="00FA7DF6" w:rsidRDefault="00FA7DF6">
      <w:pPr>
        <w:pStyle w:val="Standard"/>
        <w:jc w:val="both"/>
        <w:rPr>
          <w:b/>
          <w:bCs/>
          <w:lang w:val="ru-RU"/>
        </w:rPr>
      </w:pPr>
    </w:p>
    <w:p w:rsidR="00FA7DF6" w:rsidRPr="00505580" w:rsidRDefault="00505580">
      <w:pPr>
        <w:pStyle w:val="Standard"/>
        <w:jc w:val="both"/>
        <w:rPr>
          <w:lang w:val="ru-RU"/>
        </w:rPr>
      </w:pPr>
      <w:r>
        <w:rPr>
          <w:lang w:val="ru-RU"/>
        </w:rPr>
        <w:t>Ход имплементации необходимо понимать не как разовый процесс, а как комбинацию действий, стадий, осуществляемых различными акторами</w:t>
      </w:r>
      <w:r>
        <w:rPr>
          <w:rStyle w:val="FootnoteReference"/>
          <w:lang w:val="ru-RU"/>
        </w:rPr>
        <w:footnoteReference w:id="1"/>
      </w:r>
      <w:r>
        <w:rPr>
          <w:lang w:val="ru-RU"/>
        </w:rPr>
        <w:t xml:space="preserve"> на двух уровнях: внутригосударственном и международном.</w:t>
      </w:r>
    </w:p>
    <w:p w:rsidR="00FA7DF6" w:rsidRDefault="00505580">
      <w:pPr>
        <w:pStyle w:val="Standard"/>
        <w:jc w:val="both"/>
        <w:rPr>
          <w:lang w:val="ru-RU"/>
        </w:rPr>
      </w:pPr>
      <w:r>
        <w:rPr>
          <w:lang w:val="ru-RU"/>
        </w:rPr>
        <w:t>Российский автор И. Лукашук выделяет национальную имплементацию (осуществление), имея в виду  меры по реализации на внутригосударственном уровне, а также проводит классификацию этапов имплементации в широком значении слова, охватывая этой классификацией и международный уровень.</w:t>
      </w:r>
    </w:p>
    <w:p w:rsidR="00FA7DF6" w:rsidRDefault="00505580">
      <w:pPr>
        <w:pStyle w:val="Standard"/>
        <w:jc w:val="both"/>
        <w:rPr>
          <w:lang w:val="ru-RU"/>
        </w:rPr>
      </w:pPr>
      <w:r>
        <w:rPr>
          <w:lang w:val="ru-RU"/>
        </w:rPr>
        <w:t>Рассматривая понятие имплементации в широком значении, автор выделяет две стадии:</w:t>
      </w:r>
    </w:p>
    <w:p w:rsidR="00FA7DF6" w:rsidRDefault="00505580">
      <w:pPr>
        <w:pStyle w:val="Standard"/>
        <w:jc w:val="both"/>
        <w:rPr>
          <w:lang w:val="ru-RU"/>
        </w:rPr>
      </w:pPr>
      <w:r>
        <w:rPr>
          <w:lang w:val="ru-RU"/>
        </w:rPr>
        <w:t>1. выражение согласия на обязательность договора (смотри статью 12 Венской конвенции о праве международных договоров)</w:t>
      </w:r>
    </w:p>
    <w:p w:rsidR="00FA7DF6" w:rsidRPr="00505580" w:rsidRDefault="00505580">
      <w:pPr>
        <w:pStyle w:val="Standard"/>
        <w:jc w:val="both"/>
        <w:rPr>
          <w:lang w:val="ru-RU"/>
        </w:rPr>
      </w:pPr>
      <w:r>
        <w:rPr>
          <w:lang w:val="ru-RU"/>
        </w:rPr>
        <w:t>2. стадия исполнения договора</w:t>
      </w:r>
      <w:r>
        <w:rPr>
          <w:rStyle w:val="FootnoteReference"/>
          <w:lang w:val="ru-RU"/>
        </w:rPr>
        <w:footnoteReference w:id="2"/>
      </w:r>
      <w:r>
        <w:rPr>
          <w:lang w:val="ru-RU"/>
        </w:rPr>
        <w:t>.</w:t>
      </w:r>
    </w:p>
    <w:p w:rsidR="00FA7DF6" w:rsidRDefault="00FA7DF6">
      <w:pPr>
        <w:pStyle w:val="Standard"/>
        <w:jc w:val="both"/>
        <w:rPr>
          <w:lang w:val="ru-RU"/>
        </w:rPr>
      </w:pPr>
    </w:p>
    <w:p w:rsidR="00FA7DF6" w:rsidRDefault="00505580">
      <w:pPr>
        <w:pStyle w:val="Standard"/>
        <w:jc w:val="both"/>
        <w:rPr>
          <w:lang w:val="ru-RU"/>
        </w:rPr>
      </w:pPr>
      <w:r>
        <w:rPr>
          <w:lang w:val="ru-RU"/>
        </w:rPr>
        <w:t>Следует заметить, в приведенная классификация ориентирована лишь на процесс имплементации международных договоров, т.е. на один из известных международному праву основных источников права.</w:t>
      </w:r>
    </w:p>
    <w:p w:rsidR="00FA7DF6" w:rsidRDefault="00505580">
      <w:pPr>
        <w:pStyle w:val="Standard"/>
        <w:jc w:val="both"/>
        <w:rPr>
          <w:lang w:val="ru-RU"/>
        </w:rPr>
      </w:pPr>
      <w:r>
        <w:rPr>
          <w:lang w:val="ru-RU"/>
        </w:rPr>
        <w:t>Профессор С.Ю. Марочкин, который применяет термин "реализация", приводит классификацию, которая может быть распространена и на иные источники международного права, т.е. на обычай и общепризнанные принципы международного права. Автор приводит два направления в деятельности по реализации международных обязательств:</w:t>
      </w:r>
    </w:p>
    <w:p w:rsidR="00FA7DF6" w:rsidRDefault="00FA7DF6">
      <w:pPr>
        <w:pStyle w:val="Standard"/>
        <w:jc w:val="both"/>
        <w:rPr>
          <w:lang w:val="ru-RU"/>
        </w:rPr>
      </w:pPr>
    </w:p>
    <w:p w:rsidR="00FA7DF6" w:rsidRDefault="00505580">
      <w:pPr>
        <w:pStyle w:val="Standard"/>
        <w:jc w:val="both"/>
        <w:rPr>
          <w:lang w:val="ru-RU"/>
        </w:rPr>
      </w:pPr>
      <w:r>
        <w:rPr>
          <w:lang w:val="ru-RU"/>
        </w:rPr>
        <w:t>1. непосредственная фактическая деятельность по достижению социально значимого результата</w:t>
      </w:r>
    </w:p>
    <w:p w:rsidR="00FA7DF6" w:rsidRPr="004D4579" w:rsidRDefault="00505580">
      <w:pPr>
        <w:pStyle w:val="Standard"/>
        <w:jc w:val="both"/>
        <w:rPr>
          <w:lang w:val="ru-RU"/>
        </w:rPr>
      </w:pPr>
      <w:r>
        <w:rPr>
          <w:lang w:val="ru-RU"/>
        </w:rPr>
        <w:t>2. правовое и организационное обеспечение такой деятельности, которая включает в себя право творческую, контрольную и правоприменительную (правоохранительную) деятельность.</w:t>
      </w:r>
      <w:r>
        <w:rPr>
          <w:rStyle w:val="FootnoteReference"/>
          <w:lang w:val="ru-RU"/>
        </w:rPr>
        <w:footnoteReference w:id="3"/>
      </w:r>
      <w:r>
        <w:rPr>
          <w:lang w:val="ru-RU"/>
        </w:rPr>
        <w:t xml:space="preserve">  </w:t>
      </w:r>
    </w:p>
    <w:p w:rsidR="00FA7DF6" w:rsidRPr="004D4579" w:rsidRDefault="00FA7DF6">
      <w:pPr>
        <w:pStyle w:val="Standard"/>
        <w:jc w:val="both"/>
        <w:rPr>
          <w:lang w:val="ru-RU"/>
        </w:rPr>
      </w:pPr>
    </w:p>
    <w:p w:rsidR="00FA7DF6" w:rsidRDefault="00505580">
      <w:pPr>
        <w:pStyle w:val="Standard"/>
        <w:jc w:val="both"/>
        <w:rPr>
          <w:lang w:val="ru-RU"/>
        </w:rPr>
      </w:pPr>
      <w:r>
        <w:rPr>
          <w:lang w:val="ru-RU"/>
        </w:rPr>
        <w:t>Белорусский исследователь В. Калугин обращает внимание на то, что использование понятия  имплементация лишь для "...обозначения воздействия норм международного права на внутригосударственные отношения через внутригосударственное право" представляет собой узкое значение процесса, так как не учитывает всего спектра этого понятия.</w:t>
      </w:r>
    </w:p>
    <w:p w:rsidR="00FA7DF6" w:rsidRPr="00505580" w:rsidRDefault="00505580">
      <w:pPr>
        <w:pStyle w:val="Standard"/>
        <w:jc w:val="both"/>
        <w:rPr>
          <w:lang w:val="ru-RU"/>
        </w:rPr>
      </w:pPr>
      <w:r>
        <w:rPr>
          <w:lang w:val="ru-RU"/>
        </w:rPr>
        <w:t>Автор считает, что широкое значение этого понятия означает процесс "... воплощения в жизнь предписаний международного права как на международном, так и на внутригосударственном уровнях". Автор приводит примеры, когда реализация норм международного права происходит только на международном уровне, без подключения национальных правовых систем</w:t>
      </w:r>
      <w:r>
        <w:rPr>
          <w:rStyle w:val="FootnoteReference"/>
          <w:lang w:val="ru-RU"/>
        </w:rPr>
        <w:footnoteReference w:id="4"/>
      </w:r>
      <w:r>
        <w:rPr>
          <w:lang w:val="ru-RU"/>
        </w:rPr>
        <w:t xml:space="preserve">.  </w:t>
      </w:r>
    </w:p>
    <w:p w:rsidR="00FA7DF6" w:rsidRDefault="00505580">
      <w:pPr>
        <w:pStyle w:val="Standard"/>
        <w:jc w:val="both"/>
        <w:rPr>
          <w:lang w:val="ru-RU"/>
        </w:rPr>
      </w:pPr>
      <w:r>
        <w:rPr>
          <w:lang w:val="ru-RU"/>
        </w:rPr>
        <w:t xml:space="preserve">Эта позиция представляется обоснованной, принимая во внимание те многоплановые действия, которые осуществляются на международном уровне для того, чтобы предписания </w:t>
      </w:r>
      <w:r>
        <w:rPr>
          <w:lang w:val="ru-RU"/>
        </w:rPr>
        <w:lastRenderedPageBreak/>
        <w:t>международных соглашений исполнялись надлежащим образом.</w:t>
      </w:r>
    </w:p>
    <w:p w:rsidR="00FA7DF6" w:rsidRDefault="00505580">
      <w:pPr>
        <w:pStyle w:val="Standard"/>
        <w:jc w:val="both"/>
        <w:rPr>
          <w:lang w:val="ru-RU"/>
        </w:rPr>
      </w:pPr>
      <w:r>
        <w:rPr>
          <w:lang w:val="ru-RU"/>
        </w:rPr>
        <w:t>Достаточно в этой связи напомнить о действия органов ООН в соответствии со статья 13.1.Устава ООН по разработке рекомендаций и стандартов, подготовка программ по имплементации, в которых международным органам рекомендованы конкретные действия по достижению целей более эффективной имплементации предписаний международного права4, осуществление контроля и мониторинга со стороны специальных органов международных организаций, например процедура Универсальных периодических обзоров(УПО).</w:t>
      </w:r>
    </w:p>
    <w:p w:rsidR="00FA7DF6" w:rsidRDefault="00FA7DF6">
      <w:pPr>
        <w:pStyle w:val="Standard"/>
        <w:rPr>
          <w:b/>
          <w:bCs/>
          <w:color w:val="0000FF"/>
          <w:lang w:val="ru-RU"/>
        </w:rPr>
      </w:pPr>
    </w:p>
    <w:p w:rsidR="00FA7DF6" w:rsidRDefault="00FA7DF6">
      <w:pPr>
        <w:pStyle w:val="Standard"/>
        <w:jc w:val="both"/>
        <w:rPr>
          <w:lang w:val="ru-RU"/>
        </w:rPr>
      </w:pPr>
    </w:p>
    <w:p w:rsidR="00FA7DF6" w:rsidRDefault="00505580">
      <w:pPr>
        <w:pStyle w:val="Standard"/>
        <w:jc w:val="both"/>
        <w:rPr>
          <w:b/>
          <w:bCs/>
          <w:lang w:val="ru-RU"/>
        </w:rPr>
      </w:pPr>
      <w:r>
        <w:rPr>
          <w:b/>
          <w:bCs/>
          <w:lang w:val="ru-RU"/>
        </w:rPr>
        <w:t>Внутригосударственный уровень имплементации</w:t>
      </w:r>
    </w:p>
    <w:p w:rsidR="00FA7DF6" w:rsidRDefault="00FA7DF6">
      <w:pPr>
        <w:pStyle w:val="Standard"/>
        <w:jc w:val="both"/>
        <w:rPr>
          <w:b/>
          <w:bCs/>
          <w:lang w:val="ru-RU"/>
        </w:rPr>
      </w:pPr>
    </w:p>
    <w:p w:rsidR="00FA7DF6" w:rsidRDefault="00505580">
      <w:pPr>
        <w:pStyle w:val="Standard"/>
        <w:jc w:val="both"/>
        <w:rPr>
          <w:lang w:val="ru-RU"/>
        </w:rPr>
      </w:pPr>
      <w:r>
        <w:rPr>
          <w:lang w:val="ru-RU"/>
        </w:rPr>
        <w:t>Наибольшее значение имеет национальный (внутригосударственный) уровень имплементации.  Процесс национальной имплементации рассматривают как композицию двух  взаимосвязанных компонентов:</w:t>
      </w:r>
    </w:p>
    <w:p w:rsidR="00FA7DF6" w:rsidRDefault="00505580">
      <w:pPr>
        <w:pStyle w:val="Standard"/>
        <w:numPr>
          <w:ilvl w:val="0"/>
          <w:numId w:val="15"/>
        </w:numPr>
        <w:jc w:val="both"/>
        <w:rPr>
          <w:lang w:val="ru-RU"/>
        </w:rPr>
      </w:pPr>
      <w:r>
        <w:rPr>
          <w:lang w:val="ru-RU"/>
        </w:rPr>
        <w:t>законодательный (конституционный) механизм;</w:t>
      </w:r>
    </w:p>
    <w:p w:rsidR="00FA7DF6" w:rsidRDefault="00505580">
      <w:pPr>
        <w:pStyle w:val="Standard"/>
        <w:numPr>
          <w:ilvl w:val="0"/>
          <w:numId w:val="15"/>
        </w:numPr>
        <w:jc w:val="both"/>
        <w:rPr>
          <w:lang w:val="ru-RU"/>
        </w:rPr>
      </w:pPr>
      <w:r>
        <w:rPr>
          <w:lang w:val="ru-RU"/>
        </w:rPr>
        <w:t>имплементация de facto (практическое воплощение норм международного права), в том числе в ходе судебной защиты.</w:t>
      </w:r>
    </w:p>
    <w:p w:rsidR="00FA7DF6" w:rsidRDefault="00FA7DF6">
      <w:pPr>
        <w:pStyle w:val="Standard"/>
        <w:jc w:val="both"/>
        <w:rPr>
          <w:lang w:val="ru-RU"/>
        </w:rPr>
      </w:pPr>
    </w:p>
    <w:p w:rsidR="00FA7DF6" w:rsidRDefault="00505580">
      <w:pPr>
        <w:pStyle w:val="Standard"/>
        <w:jc w:val="both"/>
        <w:rPr>
          <w:color w:val="FF0000"/>
          <w:lang w:val="ru-RU"/>
        </w:rPr>
      </w:pPr>
      <w:r>
        <w:rPr>
          <w:color w:val="FF0000"/>
          <w:lang w:val="ru-RU"/>
        </w:rPr>
        <w:t>Смотрите схему (приложение 3 Де факто имплементация и законодательный механизм)</w:t>
      </w:r>
    </w:p>
    <w:p w:rsidR="00FA7DF6" w:rsidRDefault="00FA7DF6">
      <w:pPr>
        <w:pStyle w:val="Standard"/>
        <w:jc w:val="both"/>
        <w:rPr>
          <w:color w:val="FF0000"/>
          <w:lang w:val="ru-RU"/>
        </w:rPr>
      </w:pPr>
    </w:p>
    <w:p w:rsidR="00FA7DF6" w:rsidRDefault="00505580">
      <w:pPr>
        <w:pStyle w:val="Standard"/>
        <w:jc w:val="both"/>
        <w:rPr>
          <w:lang w:val="ru-RU"/>
        </w:rPr>
      </w:pPr>
      <w:r>
        <w:rPr>
          <w:lang w:val="ru-RU"/>
        </w:rPr>
        <w:t>Осуществление законодательного (конституционного) механизма имплементации зависит, от ряда факторов:</w:t>
      </w:r>
    </w:p>
    <w:p w:rsidR="00FA7DF6" w:rsidRDefault="00505580">
      <w:pPr>
        <w:pStyle w:val="Standard"/>
        <w:jc w:val="both"/>
        <w:rPr>
          <w:lang w:val="ru-RU"/>
        </w:rPr>
      </w:pPr>
      <w:r>
        <w:rPr>
          <w:lang w:val="ru-RU"/>
        </w:rPr>
        <w:t>во-первых, от доминирующей концепции соотношения международного и национального права, действующей в той или иной правовой системе,</w:t>
      </w:r>
    </w:p>
    <w:p w:rsidR="00FA7DF6" w:rsidRPr="00505580" w:rsidRDefault="00505580">
      <w:pPr>
        <w:pStyle w:val="Standard"/>
        <w:jc w:val="both"/>
        <w:rPr>
          <w:lang w:val="ru-RU"/>
        </w:rPr>
      </w:pPr>
      <w:r>
        <w:rPr>
          <w:lang w:val="ru-RU"/>
        </w:rPr>
        <w:t>во-вторых, от того вида источника международного  права</w:t>
      </w:r>
      <w:r>
        <w:rPr>
          <w:rStyle w:val="FootnoteReference"/>
          <w:lang w:val="ru-RU"/>
        </w:rPr>
        <w:footnoteReference w:id="5"/>
      </w:r>
      <w:r>
        <w:rPr>
          <w:lang w:val="ru-RU"/>
        </w:rPr>
        <w:t>, который подлежит трансформации в национальную правовую систему, и, наконец, он зависит</w:t>
      </w:r>
    </w:p>
    <w:p w:rsidR="00FA7DF6" w:rsidRDefault="00505580">
      <w:pPr>
        <w:pStyle w:val="Standard"/>
        <w:jc w:val="both"/>
        <w:rPr>
          <w:lang w:val="ru-RU"/>
        </w:rPr>
      </w:pPr>
      <w:r>
        <w:rPr>
          <w:lang w:val="ru-RU"/>
        </w:rPr>
        <w:t>от субъекта имплементации или вернее от его правомочий на международном и национальном уровнях.</w:t>
      </w:r>
    </w:p>
    <w:p w:rsidR="00FA7DF6" w:rsidRDefault="00505580">
      <w:pPr>
        <w:pStyle w:val="Standard"/>
        <w:jc w:val="both"/>
        <w:rPr>
          <w:lang w:val="ru-RU"/>
        </w:rPr>
      </w:pPr>
      <w:r>
        <w:rPr>
          <w:lang w:val="ru-RU"/>
        </w:rPr>
        <w:t>Следует обратить внимание на то, если участие в процессе реализации законодательного механизма обусловлено наличием вышеперечисленных условий, в том числе наличием соотвествующих правомочий у субъекта права, то участие в процессе де факто имплементации международного права прав человека доступно каждому индивиду и его представителю - например, в процессе судебной защиты с применением норм международного права.</w:t>
      </w:r>
    </w:p>
    <w:p w:rsidR="00FA7DF6" w:rsidRDefault="00FA7DF6">
      <w:pPr>
        <w:pStyle w:val="Standard"/>
        <w:jc w:val="both"/>
        <w:rPr>
          <w:b/>
          <w:color w:val="00B050"/>
          <w:lang w:val="ru-RU"/>
        </w:rPr>
      </w:pPr>
    </w:p>
    <w:p w:rsidR="00FA7DF6" w:rsidRDefault="00FA7DF6">
      <w:pPr>
        <w:pStyle w:val="Standard"/>
        <w:jc w:val="both"/>
        <w:rPr>
          <w:color w:val="000000"/>
          <w:lang w:val="ru-RU"/>
        </w:rPr>
      </w:pPr>
      <w:bookmarkStart w:id="0" w:name="_GoBack"/>
      <w:bookmarkEnd w:id="0"/>
    </w:p>
    <w:sectPr w:rsidR="00FA7DF6">
      <w:pgSz w:w="12240" w:h="15840"/>
      <w:pgMar w:top="1134" w:right="113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FF6" w:rsidRDefault="00505580">
      <w:r>
        <w:separator/>
      </w:r>
    </w:p>
  </w:endnote>
  <w:endnote w:type="continuationSeparator" w:id="0">
    <w:p w:rsidR="00D35FF6" w:rsidRDefault="0050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Arial Unicode MS'">
    <w:charset w:val="00"/>
    <w:family w:val="auto"/>
    <w:pitch w:val="default"/>
  </w:font>
  <w:font w:name="Courier New">
    <w:panose1 w:val="02070309020205020404"/>
    <w:charset w:val="00"/>
    <w:family w:val="modern"/>
    <w:pitch w:val="fixed"/>
    <w:sig w:usb0="E0002AFF" w:usb1="C0007843" w:usb2="00000009" w:usb3="00000000" w:csb0="000001FF" w:csb1="00000000"/>
  </w:font>
  <w:font w:name="OpenSymbol">
    <w:altName w:val="Arial Unicode MS"/>
    <w:charset w:val="00"/>
    <w:family w:val="auto"/>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FF6" w:rsidRDefault="00505580">
      <w:r>
        <w:rPr>
          <w:color w:val="000000"/>
        </w:rPr>
        <w:separator/>
      </w:r>
    </w:p>
  </w:footnote>
  <w:footnote w:type="continuationSeparator" w:id="0">
    <w:p w:rsidR="00D35FF6" w:rsidRDefault="00505580">
      <w:r>
        <w:continuationSeparator/>
      </w:r>
    </w:p>
  </w:footnote>
  <w:footnote w:id="1">
    <w:p w:rsidR="00FA7DF6" w:rsidRPr="00505580" w:rsidRDefault="00505580">
      <w:pPr>
        <w:pStyle w:val="FootnoteText"/>
        <w:rPr>
          <w:lang w:val="ru-RU"/>
        </w:rPr>
      </w:pPr>
      <w:r>
        <w:rPr>
          <w:rStyle w:val="FootnoteReference"/>
        </w:rPr>
        <w:footnoteRef/>
      </w:r>
      <w:r>
        <w:rPr>
          <w:lang w:val="ru-RU"/>
        </w:rPr>
        <w:t xml:space="preserve"> Слово «актор» употребляется в международном праве для обозначения субъектов права и действующих на международной арене лиц.</w:t>
      </w:r>
    </w:p>
  </w:footnote>
  <w:footnote w:id="2">
    <w:p w:rsidR="00FA7DF6" w:rsidRPr="00505580" w:rsidRDefault="00505580">
      <w:pPr>
        <w:pStyle w:val="Footnote"/>
        <w:rPr>
          <w:lang w:val="ru-RU"/>
        </w:rPr>
      </w:pPr>
      <w:r>
        <w:rPr>
          <w:rStyle w:val="FootnoteReference"/>
        </w:rPr>
        <w:footnoteRef/>
      </w:r>
      <w:r>
        <w:rPr>
          <w:lang w:val="ru-RU"/>
        </w:rPr>
        <w:t>Лукашук Игорь, И. Междунроадное право. Общая часть. М.Волтер Клуверс, 2008.</w:t>
      </w:r>
    </w:p>
  </w:footnote>
  <w:footnote w:id="3">
    <w:p w:rsidR="00FA7DF6" w:rsidRPr="00505580" w:rsidRDefault="00505580">
      <w:pPr>
        <w:pStyle w:val="Footnote"/>
        <w:rPr>
          <w:lang w:val="ru-RU"/>
        </w:rPr>
      </w:pPr>
      <w:r>
        <w:rPr>
          <w:rStyle w:val="FootnoteReference"/>
        </w:rPr>
        <w:footnoteRef/>
      </w:r>
      <w:r>
        <w:rPr>
          <w:lang w:val="ru-RU"/>
        </w:rPr>
        <w:t>Марочкин С.Ю. Международное право. / Отв. ред. Г. В. Игнатенко, О. И. Тиунов М.: Издательская группа НОРМА—ИНФРА • М, 1999. 145-146.</w:t>
      </w:r>
    </w:p>
  </w:footnote>
  <w:footnote w:id="4">
    <w:p w:rsidR="00FA7DF6" w:rsidRPr="00505580" w:rsidRDefault="00505580">
      <w:pPr>
        <w:pStyle w:val="Footnote"/>
        <w:rPr>
          <w:lang w:val="ru-RU"/>
        </w:rPr>
      </w:pPr>
      <w:r>
        <w:rPr>
          <w:rStyle w:val="FootnoteReference"/>
        </w:rPr>
        <w:footnoteRef/>
      </w:r>
      <w:r>
        <w:rPr>
          <w:lang w:val="ru-RU"/>
        </w:rPr>
        <w:t>Калугин, Виталий  Ю. Механизм имплементации международного гуманитарного права :Автореферат диссертации на соискание ученой степени кандидата юридических наук. Специальность 12.00.10 -</w:t>
      </w:r>
    </w:p>
    <w:p w:rsidR="00FA7DF6" w:rsidRDefault="00505580">
      <w:pPr>
        <w:pStyle w:val="Footnote"/>
        <w:rPr>
          <w:lang w:val="ru-RU"/>
        </w:rPr>
      </w:pPr>
      <w:r>
        <w:rPr>
          <w:lang w:val="ru-RU"/>
        </w:rPr>
        <w:t>Международное право ; Европейское право /В. Ю. Калугин ; Науч. рук. Л. В. Павлова. -Минск,2003.</w:t>
      </w:r>
    </w:p>
  </w:footnote>
  <w:footnote w:id="5">
    <w:p w:rsidR="00FA7DF6" w:rsidRPr="00505580" w:rsidRDefault="00505580">
      <w:pPr>
        <w:pStyle w:val="FootnoteText"/>
        <w:rPr>
          <w:lang w:val="ru-RU"/>
        </w:rPr>
      </w:pPr>
      <w:r>
        <w:rPr>
          <w:rStyle w:val="FootnoteReference"/>
        </w:rPr>
        <w:footnoteRef/>
      </w:r>
      <w:r>
        <w:rPr>
          <w:lang w:val="ru-RU"/>
        </w:rPr>
        <w:t xml:space="preserve"> Истоники права будут представлены в лекции 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011FC"/>
    <w:multiLevelType w:val="multilevel"/>
    <w:tmpl w:val="66B833E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12020ACE"/>
    <w:multiLevelType w:val="multilevel"/>
    <w:tmpl w:val="5B4CFDFC"/>
    <w:styleLink w:val="WW8Num17"/>
    <w:lvl w:ilvl="0">
      <w:numFmt w:val="bullet"/>
      <w:lvlText w:val=""/>
      <w:lvlJc w:val="left"/>
      <w:rPr>
        <w:rFonts w:ascii="Symbol" w:hAnsi="Symbol"/>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2">
    <w:nsid w:val="1DA85F5F"/>
    <w:multiLevelType w:val="multilevel"/>
    <w:tmpl w:val="00D67566"/>
    <w:styleLink w:val="WW8Num16"/>
    <w:lvl w:ilvl="0">
      <w:numFmt w:val="bullet"/>
      <w:lvlText w:val=""/>
      <w:lvlJc w:val="left"/>
      <w:rPr>
        <w:rFonts w:ascii="Symbol" w:hAnsi="Symbol"/>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3">
    <w:nsid w:val="1F814D90"/>
    <w:multiLevelType w:val="multilevel"/>
    <w:tmpl w:val="C64E290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
    <w:nsid w:val="357B5D7B"/>
    <w:multiLevelType w:val="multilevel"/>
    <w:tmpl w:val="051A026A"/>
    <w:styleLink w:val="WW8Num8"/>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3CD857C9"/>
    <w:multiLevelType w:val="multilevel"/>
    <w:tmpl w:val="09F8DB20"/>
    <w:styleLink w:val="WW8Num18"/>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
    <w:nsid w:val="43BA6619"/>
    <w:multiLevelType w:val="multilevel"/>
    <w:tmpl w:val="18969DCA"/>
    <w:styleLink w:val="WW8Num5"/>
    <w:lvl w:ilvl="0">
      <w:start w:val="1"/>
      <w:numFmt w:val="decimal"/>
      <w:lvlText w:val="%1)"/>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44680257"/>
    <w:multiLevelType w:val="multilevel"/>
    <w:tmpl w:val="EAE84C7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nsid w:val="56CC0E42"/>
    <w:multiLevelType w:val="multilevel"/>
    <w:tmpl w:val="53ECE9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6D6B6908"/>
    <w:multiLevelType w:val="multilevel"/>
    <w:tmpl w:val="42DEC7D4"/>
    <w:styleLink w:val="WW8Num6"/>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71715C8F"/>
    <w:multiLevelType w:val="multilevel"/>
    <w:tmpl w:val="3CD05BE6"/>
    <w:styleLink w:val="WW8Num4"/>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725D2A63"/>
    <w:multiLevelType w:val="multilevel"/>
    <w:tmpl w:val="A5345D28"/>
    <w:styleLink w:val="WW8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7CFB026B"/>
    <w:multiLevelType w:val="multilevel"/>
    <w:tmpl w:val="BDC83D6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4"/>
  </w:num>
  <w:num w:numId="2">
    <w:abstractNumId w:val="10"/>
  </w:num>
  <w:num w:numId="3">
    <w:abstractNumId w:val="11"/>
  </w:num>
  <w:num w:numId="4">
    <w:abstractNumId w:val="2"/>
  </w:num>
  <w:num w:numId="5">
    <w:abstractNumId w:val="1"/>
  </w:num>
  <w:num w:numId="6">
    <w:abstractNumId w:val="5"/>
  </w:num>
  <w:num w:numId="7">
    <w:abstractNumId w:val="9"/>
  </w:num>
  <w:num w:numId="8">
    <w:abstractNumId w:val="6"/>
  </w:num>
  <w:num w:numId="9">
    <w:abstractNumId w:val="8"/>
  </w:num>
  <w:num w:numId="10">
    <w:abstractNumId w:val="2"/>
  </w:num>
  <w:num w:numId="11">
    <w:abstractNumId w:val="1"/>
  </w:num>
  <w:num w:numId="12">
    <w:abstractNumId w:val="6"/>
    <w:lvlOverride w:ilvl="0">
      <w:startOverride w:val="1"/>
    </w:lvlOverride>
  </w:num>
  <w:num w:numId="13">
    <w:abstractNumId w:val="9"/>
  </w:num>
  <w:num w:numId="14">
    <w:abstractNumId w:val="0"/>
  </w:num>
  <w:num w:numId="15">
    <w:abstractNumId w:val="7"/>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A7DF6"/>
    <w:rsid w:val="004D4579"/>
    <w:rsid w:val="00505580"/>
    <w:rsid w:val="00674A5A"/>
    <w:rsid w:val="007B349B"/>
    <w:rsid w:val="00D35FF6"/>
    <w:rsid w:val="00FA7DF6"/>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Mangal"/>
        <w:kern w:val="3"/>
        <w:sz w:val="24"/>
        <w:szCs w:val="24"/>
        <w:lang w:val="en-US"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Standard"/>
    <w:next w:val="Standard"/>
    <w:pPr>
      <w:keepNext/>
      <w:jc w:val="both"/>
      <w:outlineLvl w:val="0"/>
    </w:pPr>
    <w:rPr>
      <w:b/>
      <w:bCs/>
    </w:rPr>
  </w:style>
  <w:style w:type="paragraph" w:styleId="Heading2">
    <w:name w:val="heading 2"/>
    <w:basedOn w:val="Standard"/>
    <w:next w:val="Standard"/>
    <w:pPr>
      <w:keepNext/>
      <w:ind w:right="-451"/>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styleId="Title">
    <w:name w:val="Title"/>
    <w:basedOn w:val="Standard"/>
    <w:next w:val="Textbody"/>
    <w:pPr>
      <w:keepNext/>
      <w:spacing w:before="240" w:after="120"/>
    </w:pPr>
    <w:rPr>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283" w:hanging="283"/>
    </w:pPr>
    <w:rPr>
      <w:sz w:val="20"/>
      <w:szCs w:val="20"/>
    </w:rPr>
  </w:style>
  <w:style w:type="paragraph" w:styleId="FootnoteText">
    <w:name w:val="footnote text"/>
    <w:basedOn w:val="Normal"/>
    <w:rPr>
      <w:sz w:val="20"/>
      <w:szCs w:val="18"/>
    </w:rPr>
  </w:style>
  <w:style w:type="character" w:customStyle="1" w:styleId="WW8Num8z0">
    <w:name w:val="WW8Num8z0"/>
    <w:rPr>
      <w:rFonts w:ascii="Symbol" w:hAnsi="Symbol"/>
    </w:rPr>
  </w:style>
  <w:style w:type="character" w:customStyle="1" w:styleId="WW8Num4z0">
    <w:name w:val="WW8Num4z0"/>
    <w:rPr>
      <w:rFonts w:ascii="Symbol" w:hAnsi="Symbol"/>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WW8Num16z0">
    <w:name w:val="WW8Num16z0"/>
    <w:rPr>
      <w:rFonts w:ascii="Symbol" w:hAnsi="Symbol"/>
    </w:rPr>
  </w:style>
  <w:style w:type="character" w:customStyle="1" w:styleId="WW8Num16z1">
    <w:name w:val="WW8Num16z1"/>
    <w:rPr>
      <w:rFonts w:ascii="OpenSymbol, 'Arial Unicode MS'" w:hAnsi="OpenSymbol, 'Arial Unicode MS'" w:cs="Courier New"/>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8z0">
    <w:name w:val="WW8Num18z0"/>
    <w:rPr>
      <w:rFonts w:ascii="Symbol" w:hAnsi="Symbol"/>
    </w:rPr>
  </w:style>
  <w:style w:type="character" w:customStyle="1" w:styleId="WW8Num18z1">
    <w:name w:val="WW8Num18z1"/>
    <w:rPr>
      <w:rFonts w:ascii="OpenSymbol, 'Arial Unicode MS'" w:hAnsi="OpenSymbol, 'Arial Unicode MS'" w:cs="OpenSymbol, 'Arial Unicode MS'"/>
    </w:rPr>
  </w:style>
  <w:style w:type="character" w:customStyle="1" w:styleId="WW8Num6z0">
    <w:name w:val="WW8Num6z0"/>
    <w:rPr>
      <w:rFonts w:ascii="Symbol" w:hAnsi="Symbol"/>
    </w:rPr>
  </w:style>
  <w:style w:type="character" w:customStyle="1" w:styleId="WW-FootnoteReference">
    <w:name w:val="WW-Footnote Reference"/>
    <w:rPr>
      <w:position w:val="0"/>
      <w:vertAlign w:val="superscript"/>
    </w:rPr>
  </w:style>
  <w:style w:type="character" w:customStyle="1" w:styleId="WW8Num5z0">
    <w:name w:val="WW8Num5z0"/>
    <w:rPr>
      <w:rFonts w:ascii="Symbol" w:hAnsi="Symbol"/>
    </w:rPr>
  </w:style>
  <w:style w:type="character" w:customStyle="1" w:styleId="NumberingSymbols">
    <w:name w:val="Numbering Symbols"/>
  </w:style>
  <w:style w:type="character" w:customStyle="1" w:styleId="a">
    <w:name w:val="Основной шрифт абзаца"/>
  </w:style>
  <w:style w:type="character" w:customStyle="1" w:styleId="Internetlink">
    <w:name w:val="Internet link"/>
    <w:basedOn w:val="a"/>
    <w:rPr>
      <w:color w:val="0000FF"/>
      <w:u w:val="single"/>
    </w:rPr>
  </w:style>
  <w:style w:type="character" w:customStyle="1" w:styleId="BulletSymbols">
    <w:name w:val="Bullet Symbols"/>
    <w:rPr>
      <w:rFonts w:ascii="OpenSymbol" w:eastAsia="OpenSymbol" w:hAnsi="OpenSymbol" w:cs="OpenSymbol"/>
    </w:rPr>
  </w:style>
  <w:style w:type="character" w:styleId="FootnoteReference">
    <w:name w:val="footnote reference"/>
    <w:basedOn w:val="DefaultParagraphFont"/>
    <w:rPr>
      <w:position w:val="0"/>
      <w:vertAlign w:val="superscript"/>
    </w:rPr>
  </w:style>
  <w:style w:type="character" w:customStyle="1" w:styleId="FootnoteTextChar">
    <w:name w:val="Footnote Text Char"/>
    <w:basedOn w:val="DefaultParagraphFont"/>
    <w:rPr>
      <w:sz w:val="20"/>
      <w:szCs w:val="18"/>
    </w:rPr>
  </w:style>
  <w:style w:type="character" w:customStyle="1" w:styleId="FootnoteCharacters">
    <w:name w:val="Footnote Characters"/>
    <w:rPr>
      <w:position w:val="0"/>
      <w:vertAlign w:val="superscript"/>
    </w:rPr>
  </w:style>
  <w:style w:type="numbering" w:customStyle="1" w:styleId="WW8Num8">
    <w:name w:val="WW8Num8"/>
    <w:basedOn w:val="NoList"/>
    <w:pPr>
      <w:numPr>
        <w:numId w:val="1"/>
      </w:numPr>
    </w:pPr>
  </w:style>
  <w:style w:type="numbering" w:customStyle="1" w:styleId="WW8Num4">
    <w:name w:val="WW8Num4"/>
    <w:basedOn w:val="NoList"/>
    <w:pPr>
      <w:numPr>
        <w:numId w:val="2"/>
      </w:numPr>
    </w:pPr>
  </w:style>
  <w:style w:type="numbering" w:customStyle="1" w:styleId="WW8Num12">
    <w:name w:val="WW8Num12"/>
    <w:basedOn w:val="NoList"/>
    <w:pPr>
      <w:numPr>
        <w:numId w:val="3"/>
      </w:numPr>
    </w:pPr>
  </w:style>
  <w:style w:type="numbering" w:customStyle="1" w:styleId="WW8Num16">
    <w:name w:val="WW8Num16"/>
    <w:basedOn w:val="NoList"/>
    <w:pPr>
      <w:numPr>
        <w:numId w:val="4"/>
      </w:numPr>
    </w:pPr>
  </w:style>
  <w:style w:type="numbering" w:customStyle="1" w:styleId="WW8Num17">
    <w:name w:val="WW8Num17"/>
    <w:basedOn w:val="NoList"/>
    <w:pPr>
      <w:numPr>
        <w:numId w:val="5"/>
      </w:numPr>
    </w:pPr>
  </w:style>
  <w:style w:type="numbering" w:customStyle="1" w:styleId="WW8Num18">
    <w:name w:val="WW8Num18"/>
    <w:basedOn w:val="NoList"/>
    <w:pPr>
      <w:numPr>
        <w:numId w:val="6"/>
      </w:numPr>
    </w:pPr>
  </w:style>
  <w:style w:type="numbering" w:customStyle="1" w:styleId="WW8Num6">
    <w:name w:val="WW8Num6"/>
    <w:basedOn w:val="NoList"/>
    <w:pPr>
      <w:numPr>
        <w:numId w:val="7"/>
      </w:numPr>
    </w:pPr>
  </w:style>
  <w:style w:type="numbering" w:customStyle="1" w:styleId="WW8Num5">
    <w:name w:val="WW8Num5"/>
    <w:basedOn w:val="NoList"/>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Mangal"/>
        <w:kern w:val="3"/>
        <w:sz w:val="24"/>
        <w:szCs w:val="24"/>
        <w:lang w:val="en-US"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Standard"/>
    <w:next w:val="Standard"/>
    <w:pPr>
      <w:keepNext/>
      <w:jc w:val="both"/>
      <w:outlineLvl w:val="0"/>
    </w:pPr>
    <w:rPr>
      <w:b/>
      <w:bCs/>
    </w:rPr>
  </w:style>
  <w:style w:type="paragraph" w:styleId="Heading2">
    <w:name w:val="heading 2"/>
    <w:basedOn w:val="Standard"/>
    <w:next w:val="Standard"/>
    <w:pPr>
      <w:keepNext/>
      <w:ind w:right="-451"/>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styleId="Title">
    <w:name w:val="Title"/>
    <w:basedOn w:val="Standard"/>
    <w:next w:val="Textbody"/>
    <w:pPr>
      <w:keepNext/>
      <w:spacing w:before="240" w:after="120"/>
    </w:pPr>
    <w:rPr>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283" w:hanging="283"/>
    </w:pPr>
    <w:rPr>
      <w:sz w:val="20"/>
      <w:szCs w:val="20"/>
    </w:rPr>
  </w:style>
  <w:style w:type="paragraph" w:styleId="FootnoteText">
    <w:name w:val="footnote text"/>
    <w:basedOn w:val="Normal"/>
    <w:rPr>
      <w:sz w:val="20"/>
      <w:szCs w:val="18"/>
    </w:rPr>
  </w:style>
  <w:style w:type="character" w:customStyle="1" w:styleId="WW8Num8z0">
    <w:name w:val="WW8Num8z0"/>
    <w:rPr>
      <w:rFonts w:ascii="Symbol" w:hAnsi="Symbol"/>
    </w:rPr>
  </w:style>
  <w:style w:type="character" w:customStyle="1" w:styleId="WW8Num4z0">
    <w:name w:val="WW8Num4z0"/>
    <w:rPr>
      <w:rFonts w:ascii="Symbol" w:hAnsi="Symbol"/>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WW8Num16z0">
    <w:name w:val="WW8Num16z0"/>
    <w:rPr>
      <w:rFonts w:ascii="Symbol" w:hAnsi="Symbol"/>
    </w:rPr>
  </w:style>
  <w:style w:type="character" w:customStyle="1" w:styleId="WW8Num16z1">
    <w:name w:val="WW8Num16z1"/>
    <w:rPr>
      <w:rFonts w:ascii="OpenSymbol, 'Arial Unicode MS'" w:hAnsi="OpenSymbol, 'Arial Unicode MS'" w:cs="Courier New"/>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8z0">
    <w:name w:val="WW8Num18z0"/>
    <w:rPr>
      <w:rFonts w:ascii="Symbol" w:hAnsi="Symbol"/>
    </w:rPr>
  </w:style>
  <w:style w:type="character" w:customStyle="1" w:styleId="WW8Num18z1">
    <w:name w:val="WW8Num18z1"/>
    <w:rPr>
      <w:rFonts w:ascii="OpenSymbol, 'Arial Unicode MS'" w:hAnsi="OpenSymbol, 'Arial Unicode MS'" w:cs="OpenSymbol, 'Arial Unicode MS'"/>
    </w:rPr>
  </w:style>
  <w:style w:type="character" w:customStyle="1" w:styleId="WW8Num6z0">
    <w:name w:val="WW8Num6z0"/>
    <w:rPr>
      <w:rFonts w:ascii="Symbol" w:hAnsi="Symbol"/>
    </w:rPr>
  </w:style>
  <w:style w:type="character" w:customStyle="1" w:styleId="WW-FootnoteReference">
    <w:name w:val="WW-Footnote Reference"/>
    <w:rPr>
      <w:position w:val="0"/>
      <w:vertAlign w:val="superscript"/>
    </w:rPr>
  </w:style>
  <w:style w:type="character" w:customStyle="1" w:styleId="WW8Num5z0">
    <w:name w:val="WW8Num5z0"/>
    <w:rPr>
      <w:rFonts w:ascii="Symbol" w:hAnsi="Symbol"/>
    </w:rPr>
  </w:style>
  <w:style w:type="character" w:customStyle="1" w:styleId="NumberingSymbols">
    <w:name w:val="Numbering Symbols"/>
  </w:style>
  <w:style w:type="character" w:customStyle="1" w:styleId="a">
    <w:name w:val="Основной шрифт абзаца"/>
  </w:style>
  <w:style w:type="character" w:customStyle="1" w:styleId="Internetlink">
    <w:name w:val="Internet link"/>
    <w:basedOn w:val="a"/>
    <w:rPr>
      <w:color w:val="0000FF"/>
      <w:u w:val="single"/>
    </w:rPr>
  </w:style>
  <w:style w:type="character" w:customStyle="1" w:styleId="BulletSymbols">
    <w:name w:val="Bullet Symbols"/>
    <w:rPr>
      <w:rFonts w:ascii="OpenSymbol" w:eastAsia="OpenSymbol" w:hAnsi="OpenSymbol" w:cs="OpenSymbol"/>
    </w:rPr>
  </w:style>
  <w:style w:type="character" w:styleId="FootnoteReference">
    <w:name w:val="footnote reference"/>
    <w:basedOn w:val="DefaultParagraphFont"/>
    <w:rPr>
      <w:position w:val="0"/>
      <w:vertAlign w:val="superscript"/>
    </w:rPr>
  </w:style>
  <w:style w:type="character" w:customStyle="1" w:styleId="FootnoteTextChar">
    <w:name w:val="Footnote Text Char"/>
    <w:basedOn w:val="DefaultParagraphFont"/>
    <w:rPr>
      <w:sz w:val="20"/>
      <w:szCs w:val="18"/>
    </w:rPr>
  </w:style>
  <w:style w:type="character" w:customStyle="1" w:styleId="FootnoteCharacters">
    <w:name w:val="Footnote Characters"/>
    <w:rPr>
      <w:position w:val="0"/>
      <w:vertAlign w:val="superscript"/>
    </w:rPr>
  </w:style>
  <w:style w:type="numbering" w:customStyle="1" w:styleId="WW8Num8">
    <w:name w:val="WW8Num8"/>
    <w:basedOn w:val="NoList"/>
    <w:pPr>
      <w:numPr>
        <w:numId w:val="1"/>
      </w:numPr>
    </w:pPr>
  </w:style>
  <w:style w:type="numbering" w:customStyle="1" w:styleId="WW8Num4">
    <w:name w:val="WW8Num4"/>
    <w:basedOn w:val="NoList"/>
    <w:pPr>
      <w:numPr>
        <w:numId w:val="2"/>
      </w:numPr>
    </w:pPr>
  </w:style>
  <w:style w:type="numbering" w:customStyle="1" w:styleId="WW8Num12">
    <w:name w:val="WW8Num12"/>
    <w:basedOn w:val="NoList"/>
    <w:pPr>
      <w:numPr>
        <w:numId w:val="3"/>
      </w:numPr>
    </w:pPr>
  </w:style>
  <w:style w:type="numbering" w:customStyle="1" w:styleId="WW8Num16">
    <w:name w:val="WW8Num16"/>
    <w:basedOn w:val="NoList"/>
    <w:pPr>
      <w:numPr>
        <w:numId w:val="4"/>
      </w:numPr>
    </w:pPr>
  </w:style>
  <w:style w:type="numbering" w:customStyle="1" w:styleId="WW8Num17">
    <w:name w:val="WW8Num17"/>
    <w:basedOn w:val="NoList"/>
    <w:pPr>
      <w:numPr>
        <w:numId w:val="5"/>
      </w:numPr>
    </w:pPr>
  </w:style>
  <w:style w:type="numbering" w:customStyle="1" w:styleId="WW8Num18">
    <w:name w:val="WW8Num18"/>
    <w:basedOn w:val="NoList"/>
    <w:pPr>
      <w:numPr>
        <w:numId w:val="6"/>
      </w:numPr>
    </w:pPr>
  </w:style>
  <w:style w:type="numbering" w:customStyle="1" w:styleId="WW8Num6">
    <w:name w:val="WW8Num6"/>
    <w:basedOn w:val="NoList"/>
    <w:pPr>
      <w:numPr>
        <w:numId w:val="7"/>
      </w:numPr>
    </w:pPr>
  </w:style>
  <w:style w:type="numbering" w:customStyle="1" w:styleId="WW8Num5">
    <w:name w:val="WW8Num5"/>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680</Words>
  <Characters>3604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Liudmila Ulyashyna</dc:creator>
  <cp:lastModifiedBy>Liudmila Ulyashyna</cp:lastModifiedBy>
  <cp:revision>3</cp:revision>
  <dcterms:created xsi:type="dcterms:W3CDTF">2012-05-23T15:59:00Z</dcterms:created>
  <dcterms:modified xsi:type="dcterms:W3CDTF">2012-05-23T16:00:00Z</dcterms:modified>
</cp:coreProperties>
</file>