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000000"/>
          <w:spacing w:val="0"/>
          <w:position w:val="0"/>
          <w:sz w:val="22"/>
          <w:shd w:fill="FFFFFF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22"/>
          <w:shd w:fill="FFFFFF" w:val="clear"/>
        </w:rPr>
        <w:t xml:space="preserve">Описание работы в модуле 5</w:t>
      </w:r>
    </w:p>
    <w:p>
      <w:pPr>
        <w:spacing w:before="100" w:after="10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  <w:t xml:space="preserve">Международные стандарты прав человека: подходы к дефиниции понятия, содержание, функции</w:t>
      </w:r>
    </w:p>
    <w:p>
      <w:pPr>
        <w:spacing w:before="100" w:after="10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Модуль служит введением в область непосредственного применения МСПЧ на внутригосударсвтенном уровне.</w:t>
      </w:r>
    </w:p>
    <w:p>
      <w:pPr>
        <w:spacing w:before="100" w:after="10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Материалы лекции сфокусированы на теоретических доктринах, раскрывающих проблемы применению МСПЧ: концепции «мягкого» права, проблемы легитимности МСПЧ и доктрины «самоисполнимости» норм международного права.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Порядок работы в модуле: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1.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Вернитесь к анализу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Таблицы </w:t>
      </w:r>
      <w:r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  <w:t xml:space="preserve">Стандарты: Группы и Эффективность</w:t>
      </w:r>
      <w:r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(модуль 3)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. О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б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ратите внимание на группу D 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2.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Прочтите часть первую лекции модуля </w:t>
      </w:r>
      <w:r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  <w:t xml:space="preserve">«Мягкое» право: теория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3. Изучите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Таблицу  </w:t>
      </w:r>
      <w:r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  <w:t xml:space="preserve">МСПЧ в свете "мягкого права",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проведите самостоятельный критический анализа с учетом лекции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4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Прочтите часть вторую лекции модуля </w:t>
      </w:r>
      <w:r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  <w:t xml:space="preserve">- «Мягкое» право: практика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5. Примите участие в дискуссии: </w:t>
      </w:r>
      <w:r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  <w:t xml:space="preserve">Играют ли какую-либо роль документы "мягкого права" в процессе внутригосударс</w:t>
      </w:r>
      <w:r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  <w:t xml:space="preserve">т</w:t>
      </w:r>
      <w:r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  <w:t xml:space="preserve">енного правоприменения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?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6. Прочтите часть третью лекции модуля </w:t>
      </w:r>
      <w:r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  <w:t xml:space="preserve">- МСПЧ и легитимность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7. Прочтите статью Карин Беше Головко </w:t>
      </w:r>
      <w:r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  <w:t xml:space="preserve">Россия: государство и суверенитет versus общество и легитимность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  <w:t xml:space="preserve">8.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Прочтите часть четвертую лекции модуля </w:t>
      </w:r>
      <w:r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  <w:t xml:space="preserve">-  Доктрина «самоисполнимости» (self-executing treaties)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  <w:t xml:space="preserve">9. 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Прочтите часть пятую лекции модуля - </w:t>
      </w:r>
      <w:r>
        <w:rPr>
          <w:rFonts w:ascii="Arial Unicode MS" w:hAnsi="Arial Unicode MS" w:cs="Arial Unicode MS" w:eastAsia="Arial Unicode MS"/>
          <w:i/>
          <w:color w:val="auto"/>
          <w:spacing w:val="0"/>
          <w:position w:val="0"/>
          <w:sz w:val="22"/>
          <w:shd w:fill="auto" w:val="clear"/>
        </w:rPr>
        <w:t xml:space="preserve">МСПЧ</w:t>
      </w:r>
      <w:r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Unicode MS" w:hAnsi="Arial Unicode MS" w:cs="Arial Unicode MS" w:eastAsia="Arial Unicode MS"/>
          <w:i/>
          <w:color w:val="auto"/>
          <w:spacing w:val="0"/>
          <w:position w:val="0"/>
          <w:sz w:val="22"/>
          <w:shd w:fill="auto" w:val="clear"/>
        </w:rPr>
        <w:t xml:space="preserve">как</w:t>
      </w:r>
      <w:r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Unicode MS" w:hAnsi="Arial Unicode MS" w:cs="Arial Unicode MS" w:eastAsia="Arial Unicode MS"/>
          <w:i/>
          <w:color w:val="auto"/>
          <w:spacing w:val="0"/>
          <w:position w:val="0"/>
          <w:sz w:val="22"/>
          <w:shd w:fill="auto" w:val="clear"/>
        </w:rPr>
        <w:t xml:space="preserve">средство</w:t>
      </w:r>
      <w:r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Unicode MS" w:hAnsi="Arial Unicode MS" w:cs="Arial Unicode MS" w:eastAsia="Arial Unicode MS"/>
          <w:i/>
          <w:color w:val="auto"/>
          <w:spacing w:val="0"/>
          <w:position w:val="0"/>
          <w:sz w:val="22"/>
          <w:shd w:fill="auto" w:val="clear"/>
        </w:rPr>
        <w:t xml:space="preserve">преодоления</w:t>
      </w:r>
      <w:r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Unicode MS" w:hAnsi="Arial Unicode MS" w:cs="Arial Unicode MS" w:eastAsia="Arial Unicode MS"/>
          <w:i/>
          <w:color w:val="auto"/>
          <w:spacing w:val="0"/>
          <w:position w:val="0"/>
          <w:sz w:val="22"/>
          <w:shd w:fill="auto" w:val="clear"/>
        </w:rPr>
        <w:t xml:space="preserve">проблемы</w:t>
      </w:r>
      <w:r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Unicode MS" w:hAnsi="Arial Unicode MS" w:cs="Arial Unicode MS" w:eastAsia="Arial Unicode MS"/>
          <w:i/>
          <w:color w:val="auto"/>
          <w:spacing w:val="0"/>
          <w:position w:val="0"/>
          <w:sz w:val="22"/>
          <w:shd w:fill="auto" w:val="clear"/>
        </w:rPr>
        <w:t xml:space="preserve">«дефицита</w:t>
      </w:r>
      <w:r>
        <w:rPr>
          <w:rFonts w:ascii="Arial" w:hAnsi="Arial" w:cs="Arial" w:eastAsia="Arial"/>
          <w:i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Unicode MS" w:hAnsi="Arial Unicode MS" w:cs="Arial Unicode MS" w:eastAsia="Arial Unicode MS"/>
          <w:i/>
          <w:color w:val="auto"/>
          <w:spacing w:val="0"/>
          <w:position w:val="0"/>
          <w:sz w:val="22"/>
          <w:shd w:fill="auto" w:val="clear"/>
        </w:rPr>
        <w:t xml:space="preserve">содержательности»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10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.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 Используйте информацию, полученную в ходе изучения материалов модуля 5 при подготовке творческих заданий (см. модуль 3).  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