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DF6" w:rsidRPr="00505580" w:rsidRDefault="001B0DA6">
      <w:pPr>
        <w:pStyle w:val="Standard"/>
        <w:rPr>
          <w:lang w:val="ru-RU"/>
        </w:rPr>
      </w:pPr>
      <w:r>
        <w:rPr>
          <w:b/>
          <w:bCs/>
          <w:lang w:val="ru-RU"/>
        </w:rPr>
        <w:t>Глава «</w:t>
      </w:r>
      <w:r w:rsidR="00505580">
        <w:rPr>
          <w:b/>
          <w:bCs/>
          <w:lang w:val="ru-RU"/>
        </w:rPr>
        <w:t>Способы, формы, стадии имплементации норм международного права в национальных правовых системах</w:t>
      </w:r>
      <w:r>
        <w:rPr>
          <w:b/>
          <w:bCs/>
          <w:lang w:val="ru-RU"/>
        </w:rPr>
        <w:t>»</w:t>
      </w:r>
    </w:p>
    <w:p w:rsidR="00FA7DF6" w:rsidRDefault="00FA7DF6">
      <w:pPr>
        <w:pStyle w:val="Textbody"/>
        <w:spacing w:after="0"/>
        <w:jc w:val="both"/>
        <w:rPr>
          <w:lang w:val="ru-RU"/>
        </w:rPr>
      </w:pPr>
    </w:p>
    <w:p w:rsidR="00FA7DF6" w:rsidRDefault="00505580">
      <w:pPr>
        <w:pStyle w:val="Textbody"/>
        <w:spacing w:after="0"/>
        <w:jc w:val="both"/>
        <w:rPr>
          <w:b/>
          <w:bCs/>
          <w:lang w:val="ru-RU"/>
        </w:rPr>
      </w:pPr>
      <w:r>
        <w:rPr>
          <w:b/>
          <w:bCs/>
          <w:lang w:val="ru-RU"/>
        </w:rPr>
        <w:t>Способы и формы (в зависимости от типа правовых систем)</w:t>
      </w:r>
    </w:p>
    <w:p w:rsidR="00FA7DF6" w:rsidRDefault="00505580">
      <w:pPr>
        <w:pStyle w:val="Standard"/>
        <w:jc w:val="both"/>
        <w:rPr>
          <w:rFonts w:cs="Calibri"/>
          <w:lang w:val="ru-RU"/>
        </w:rPr>
      </w:pPr>
      <w:r>
        <w:rPr>
          <w:rFonts w:cs="Calibri"/>
          <w:lang w:val="ru-RU"/>
        </w:rPr>
        <w:t>Монистические правовые системы допускают непосредственное применение международных источников права (включая договоры, иногда и до начала вступления их в силу для правовой системы), т.е. отсылку.</w:t>
      </w:r>
    </w:p>
    <w:p w:rsidR="00FA7DF6" w:rsidRPr="00505580" w:rsidRDefault="00505580">
      <w:pPr>
        <w:jc w:val="both"/>
        <w:rPr>
          <w:lang w:val="ru-RU"/>
        </w:rPr>
      </w:pPr>
      <w:r>
        <w:rPr>
          <w:rFonts w:eastAsia="Arial Unicode MS" w:cs="Calibri"/>
          <w:lang w:val="ru-RU"/>
        </w:rPr>
        <w:t>Профессор Л. Павлова приводит примеры монистически ориентированных государств</w:t>
      </w:r>
      <w:r>
        <w:rPr>
          <w:rStyle w:val="FootnoteReference"/>
          <w:rFonts w:eastAsia="Arial Unicode MS" w:cs="Calibri"/>
        </w:rPr>
        <w:footnoteReference w:id="1"/>
      </w:r>
      <w:r>
        <w:rPr>
          <w:rFonts w:eastAsia="Arial Unicode MS" w:cs="Calibri"/>
          <w:lang w:val="ru-RU"/>
        </w:rPr>
        <w:t>: Конституция США(1787) в статье шестой провозглашает международный договор частью права страны и предусматривает, что «настоящая Конституция и законы Соединенных Штатов, изданные в ее исполнение, равно как и все договоры, которые заключены или будут заключены Соединенными Штатами, являются высшими законами страны, и судьи каждого штата обязаны к их исполнению, хотя бы в Конституции и законах отдельных штатов встречались противоречащие постановления»</w:t>
      </w:r>
      <w:r>
        <w:rPr>
          <w:rStyle w:val="FootnoteReference"/>
          <w:rFonts w:eastAsia="Arial Unicode MS" w:cs="Calibri"/>
        </w:rPr>
        <w:footnoteReference w:id="2"/>
      </w:r>
      <w:r>
        <w:rPr>
          <w:rFonts w:eastAsia="Arial Unicode MS" w:cs="Calibri"/>
          <w:lang w:val="ru-RU"/>
        </w:rPr>
        <w:t>. В Конституции Австралии существует отсылка к</w:t>
      </w:r>
      <w:r>
        <w:rPr>
          <w:rFonts w:ascii="Arial Unicode MS" w:eastAsia="Arial Unicode MS" w:hAnsi="Arial Unicode MS" w:cs="Arial Unicode MS"/>
          <w:lang w:val="ru-RU"/>
        </w:rPr>
        <w:t xml:space="preserve"> </w:t>
      </w:r>
      <w:r>
        <w:rPr>
          <w:rFonts w:eastAsia="Arial Unicode MS" w:cs="Calibri"/>
          <w:lang w:val="ru-RU"/>
        </w:rPr>
        <w:t>обычным нормам международного права, как действующим непосредственно</w:t>
      </w:r>
      <w:r>
        <w:rPr>
          <w:rStyle w:val="FootnoteReference"/>
          <w:rFonts w:eastAsia="Arial Unicode MS" w:cs="Calibri"/>
        </w:rPr>
        <w:footnoteReference w:id="3"/>
      </w:r>
      <w:r>
        <w:rPr>
          <w:rFonts w:eastAsia="Arial Unicode MS" w:cs="Calibri"/>
          <w:lang w:val="ru-RU"/>
        </w:rPr>
        <w:t xml:space="preserve">.  </w:t>
      </w:r>
    </w:p>
    <w:p w:rsidR="00FA7DF6" w:rsidRPr="00505580" w:rsidRDefault="00505580">
      <w:pPr>
        <w:jc w:val="both"/>
        <w:rPr>
          <w:lang w:val="ru-RU"/>
        </w:rPr>
      </w:pPr>
      <w:r>
        <w:rPr>
          <w:rFonts w:eastAsia="Arial Unicode MS" w:cs="Calibri"/>
          <w:lang w:val="ru-RU"/>
        </w:rPr>
        <w:t xml:space="preserve">Частью национальный правовой системы становятся положения международных договоров, принципов и норм обычая в  Российской Федерации. Конституция страны (1993) содержит ряд положений относительно действия норм международного права, регламентирующих защиту прав и свобод человека: «Человек, его права и свободы являются высшей ценностью» (статья 2), что обеспечивается </w:t>
      </w:r>
      <w:r>
        <w:rPr>
          <w:rFonts w:eastAsia="Arial Unicode MS" w:cs="Calibri"/>
          <w:i/>
          <w:iCs/>
          <w:lang w:val="ru-RU"/>
        </w:rPr>
        <w:t>«согласно общепризнанным принципам и нормам международного права и в соответствии с настоящей Конституцией»</w:t>
      </w:r>
      <w:r>
        <w:rPr>
          <w:rFonts w:eastAsia="Arial Unicode MS" w:cs="Calibri"/>
          <w:lang w:val="ru-RU"/>
        </w:rPr>
        <w:t xml:space="preserve"> (статья 17 Конституции). В Конституции закреплено также, что </w:t>
      </w:r>
      <w:r>
        <w:rPr>
          <w:rFonts w:eastAsia="Arial Unicode MS" w:cs="Calibri"/>
          <w:i/>
          <w:iCs/>
          <w:lang w:val="ru-RU"/>
        </w:rPr>
        <w:t xml:space="preserve">«основные права и свободы человека неотчуждаемы и принадлежат каждому от рождения» </w:t>
      </w:r>
      <w:r>
        <w:rPr>
          <w:rFonts w:eastAsia="Arial Unicode MS" w:cs="Calibri"/>
          <w:lang w:val="ru-RU"/>
        </w:rPr>
        <w:t xml:space="preserve">(часть 2 статьи 17 Конституции), что они </w:t>
      </w:r>
      <w:r>
        <w:rPr>
          <w:rFonts w:eastAsia="Arial Unicode MS" w:cs="Calibri"/>
          <w:i/>
          <w:iCs/>
          <w:lang w:val="ru-RU"/>
        </w:rPr>
        <w:t>«....являются непосредственно действующими»</w:t>
      </w:r>
      <w:r>
        <w:rPr>
          <w:rFonts w:eastAsia="Arial Unicode MS" w:cs="Calibri"/>
          <w:lang w:val="ru-RU"/>
        </w:rPr>
        <w:t xml:space="preserve"> и </w:t>
      </w:r>
      <w:r>
        <w:rPr>
          <w:rFonts w:eastAsia="Arial Unicode MS" w:cs="Calibri"/>
          <w:i/>
          <w:iCs/>
          <w:lang w:val="ru-RU"/>
        </w:rPr>
        <w:t xml:space="preserve">«...определяют смысл, содержание и применение законов, деятельность законодательной и исполнительной власти, местного самоуправления и обеспечиваются правосудием.» </w:t>
      </w:r>
      <w:r>
        <w:rPr>
          <w:rFonts w:eastAsia="Arial Unicode MS" w:cs="Calibri"/>
          <w:lang w:val="ru-RU"/>
        </w:rPr>
        <w:t xml:space="preserve">(статья 18 Конституции). Конституция закрепила прямое действие </w:t>
      </w:r>
      <w:r>
        <w:rPr>
          <w:rFonts w:eastAsia="Arial Unicode MS" w:cs="Calibri"/>
          <w:i/>
          <w:iCs/>
          <w:lang w:val="ru-RU"/>
        </w:rPr>
        <w:t xml:space="preserve">всех </w:t>
      </w:r>
      <w:r>
        <w:rPr>
          <w:rFonts w:eastAsia="Arial Unicode MS" w:cs="Calibri"/>
          <w:lang w:val="ru-RU"/>
        </w:rPr>
        <w:t xml:space="preserve">источников международного права во внутригосударственной правовой системе, указав что, </w:t>
      </w:r>
      <w:r>
        <w:rPr>
          <w:rFonts w:eastAsia="Arial Unicode MS" w:cs="Calibri"/>
          <w:i/>
          <w:iCs/>
          <w:lang w:val="ru-RU"/>
        </w:rPr>
        <w:t>общепризнанные принципы и нормы международного права и международные договоры РФ являются составной частью ее правовой системы (часть 4 статьи 15)</w:t>
      </w:r>
      <w:r>
        <w:rPr>
          <w:rStyle w:val="FootnoteCharacters"/>
          <w:rFonts w:eastAsia="Arial Unicode MS" w:cs="Calibri"/>
          <w:i/>
          <w:iCs/>
        </w:rPr>
        <w:footnoteReference w:id="4"/>
      </w:r>
      <w:r>
        <w:rPr>
          <w:rFonts w:eastAsia="Arial Unicode MS" w:cs="Calibri"/>
          <w:i/>
          <w:iCs/>
          <w:lang w:val="ru-RU"/>
        </w:rPr>
        <w:t>.</w:t>
      </w:r>
    </w:p>
    <w:p w:rsidR="00FA7DF6" w:rsidRDefault="00505580">
      <w:pPr>
        <w:pStyle w:val="Standard"/>
        <w:jc w:val="both"/>
        <w:rPr>
          <w:lang w:val="ru-RU"/>
        </w:rPr>
      </w:pPr>
      <w:r>
        <w:rPr>
          <w:lang w:val="ru-RU"/>
        </w:rPr>
        <w:t>Дуалистические системы осуществляют инкорпорацию международных договоров путем деятельности национального законодательного органа(Великобритания, Ирландия) -</w:t>
      </w:r>
    </w:p>
    <w:p w:rsidR="00FA7DF6" w:rsidRPr="00505580" w:rsidRDefault="00505580">
      <w:pPr>
        <w:pStyle w:val="Standard"/>
        <w:jc w:val="both"/>
        <w:rPr>
          <w:lang w:val="ru-RU"/>
        </w:rPr>
      </w:pPr>
      <w:r>
        <w:rPr>
          <w:lang w:val="ru-RU"/>
        </w:rPr>
        <w:t xml:space="preserve">в фоме </w:t>
      </w:r>
      <w:r>
        <w:rPr>
          <w:i/>
          <w:iCs/>
          <w:lang w:val="ru-RU"/>
        </w:rPr>
        <w:t>рецепции</w:t>
      </w:r>
      <w:r>
        <w:rPr>
          <w:lang w:val="ru-RU"/>
        </w:rPr>
        <w:t xml:space="preserve">, когда содержание инкорпорируемого международного акта воспрозводится дословно (automatic incorporation), или в форме </w:t>
      </w:r>
      <w:r>
        <w:rPr>
          <w:i/>
          <w:iCs/>
          <w:lang w:val="ru-RU"/>
        </w:rPr>
        <w:t xml:space="preserve">трансформации </w:t>
      </w:r>
      <w:r>
        <w:rPr>
          <w:lang w:val="ru-RU"/>
        </w:rPr>
        <w:t>(statutory incorporation), когда имплементирующий закон конкретизирует положения международного акта, отменяет действие старого национального акта.</w:t>
      </w:r>
    </w:p>
    <w:p w:rsidR="00FA7DF6" w:rsidRDefault="00505580">
      <w:pPr>
        <w:pStyle w:val="Standard"/>
        <w:jc w:val="both"/>
        <w:rPr>
          <w:lang w:val="ru-RU"/>
        </w:rPr>
      </w:pPr>
      <w:r>
        <w:rPr>
          <w:lang w:val="ru-RU"/>
        </w:rPr>
        <w:t xml:space="preserve">Следует согласиться с авторами, которые считают, что первый вариант инкорпорации по </w:t>
      </w:r>
      <w:r>
        <w:rPr>
          <w:lang w:val="ru-RU"/>
        </w:rPr>
        <w:lastRenderedPageBreak/>
        <w:t xml:space="preserve">существу также ведет к непосредственному действию норм международного права за тем лишь исключением, что органом, применяющим этот международных акт является парламент, а не суд, как это происходит в монистических правовых системах.  </w:t>
      </w:r>
    </w:p>
    <w:p w:rsidR="00FA7DF6" w:rsidRPr="00505580" w:rsidRDefault="00505580">
      <w:pPr>
        <w:pStyle w:val="Standard"/>
        <w:jc w:val="both"/>
        <w:rPr>
          <w:lang w:val="ru-RU"/>
        </w:rPr>
      </w:pPr>
      <w:r>
        <w:rPr>
          <w:lang w:val="ru-RU"/>
        </w:rPr>
        <w:t>Многие ученые и практики отмечают, что по сравнению с трансформацией положений международных договоров в национальное законодательство, непосредственное их применение (отсылка) как способ имплементации международных обязательств способствует большему проникновению международного права в правовую культуру и сознание общества. Обеспечение исполнения международных договоров не только механизмом государственного принуждения, но и силой общественного мнения повышает их эффективность</w:t>
      </w:r>
      <w:r>
        <w:rPr>
          <w:rStyle w:val="FootnoteReference"/>
          <w:lang w:val="ru-RU"/>
        </w:rPr>
        <w:footnoteReference w:id="5"/>
      </w:r>
      <w:r>
        <w:rPr>
          <w:lang w:val="ru-RU"/>
        </w:rPr>
        <w:t>.</w:t>
      </w:r>
    </w:p>
    <w:p w:rsidR="00FA7DF6" w:rsidRPr="00505580" w:rsidRDefault="00505580">
      <w:pPr>
        <w:pStyle w:val="Standard"/>
        <w:jc w:val="both"/>
        <w:rPr>
          <w:lang w:val="ru-RU"/>
        </w:rPr>
      </w:pPr>
      <w:r>
        <w:rPr>
          <w:lang w:val="ru-RU"/>
        </w:rPr>
        <w:t>В параграфе 83 Венской Декларации и Программы действий</w:t>
      </w:r>
      <w:r>
        <w:rPr>
          <w:rStyle w:val="FootnoteReference"/>
          <w:lang w:val="ru-RU"/>
        </w:rPr>
        <w:footnoteReference w:id="6"/>
      </w:r>
      <w:r>
        <w:rPr>
          <w:lang w:val="ru-RU"/>
        </w:rPr>
        <w:t>Всемирная конференция по правам человека настоятельно призывает правительства включить стандарты, содержащиеся в международных договорах по правам человека, во внутреннее законодательство и укрепить национальные структуры, институты и органы общества, которые играют определенную роль в деле поощрения и защиты прав человека.</w:t>
      </w:r>
    </w:p>
    <w:p w:rsidR="00FA7DF6" w:rsidRDefault="00FA7DF6">
      <w:pPr>
        <w:pStyle w:val="Standard"/>
        <w:jc w:val="both"/>
        <w:rPr>
          <w:color w:val="00B0F0"/>
          <w:lang w:val="ru-RU"/>
        </w:rPr>
      </w:pPr>
      <w:bookmarkStart w:id="0" w:name="_GoBack"/>
      <w:bookmarkEnd w:id="0"/>
    </w:p>
    <w:sectPr w:rsidR="00FA7DF6">
      <w:pgSz w:w="12240" w:h="15840"/>
      <w:pgMar w:top="1134" w:right="1134" w:bottom="1134" w:left="1134"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5FF6" w:rsidRDefault="00505580">
      <w:r>
        <w:separator/>
      </w:r>
    </w:p>
  </w:endnote>
  <w:endnote w:type="continuationSeparator" w:id="0">
    <w:p w:rsidR="00D35FF6" w:rsidRDefault="00505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Arial Unicode MS'">
    <w:charset w:val="00"/>
    <w:family w:val="auto"/>
    <w:pitch w:val="default"/>
  </w:font>
  <w:font w:name="Courier New">
    <w:panose1 w:val="02070309020205020404"/>
    <w:charset w:val="00"/>
    <w:family w:val="modern"/>
    <w:pitch w:val="fixed"/>
    <w:sig w:usb0="E0002AFF" w:usb1="C0007843" w:usb2="00000009" w:usb3="00000000" w:csb0="000001FF" w:csb1="00000000"/>
  </w:font>
  <w:font w:name="OpenSymbol">
    <w:altName w:val="Arial Unicode MS"/>
    <w:charset w:val="00"/>
    <w:family w:val="auto"/>
    <w:pitch w:val="variable"/>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5FF6" w:rsidRDefault="00505580">
      <w:r>
        <w:rPr>
          <w:color w:val="000000"/>
        </w:rPr>
        <w:separator/>
      </w:r>
    </w:p>
  </w:footnote>
  <w:footnote w:type="continuationSeparator" w:id="0">
    <w:p w:rsidR="00D35FF6" w:rsidRDefault="00505580">
      <w:r>
        <w:continuationSeparator/>
      </w:r>
    </w:p>
  </w:footnote>
  <w:footnote w:id="1">
    <w:p w:rsidR="00FA7DF6" w:rsidRPr="00505580" w:rsidRDefault="00505580">
      <w:pPr>
        <w:pStyle w:val="FootnoteText"/>
        <w:rPr>
          <w:lang w:val="ru-RU"/>
        </w:rPr>
      </w:pPr>
      <w:r>
        <w:rPr>
          <w:rStyle w:val="FootnoteReference"/>
        </w:rPr>
        <w:footnoteRef/>
      </w:r>
      <w:r>
        <w:rPr>
          <w:color w:val="FF0000"/>
          <w:lang w:val="ru-RU"/>
        </w:rPr>
        <w:tab/>
      </w:r>
      <w:r>
        <w:rPr>
          <w:color w:val="000000"/>
          <w:lang w:val="ru-RU"/>
        </w:rPr>
        <w:t>Павлова, Людмила "Международное право в правовой системе государств",</w:t>
      </w:r>
    </w:p>
  </w:footnote>
  <w:footnote w:id="2">
    <w:p w:rsidR="00FA7DF6" w:rsidRPr="00505580" w:rsidRDefault="00505580">
      <w:pPr>
        <w:pStyle w:val="FootnoteText"/>
        <w:rPr>
          <w:lang w:val="ru-RU"/>
        </w:rPr>
      </w:pPr>
      <w:r>
        <w:rPr>
          <w:rStyle w:val="FootnoteReference"/>
        </w:rPr>
        <w:footnoteRef/>
      </w:r>
      <w:r>
        <w:rPr>
          <w:color w:val="000000"/>
          <w:lang w:val="ru-RU"/>
        </w:rPr>
        <w:tab/>
        <w:t>Цит. по Конституции буржуазных государств М., 1982. С. 31.</w:t>
      </w:r>
    </w:p>
  </w:footnote>
  <w:footnote w:id="3">
    <w:p w:rsidR="00FA7DF6" w:rsidRPr="00505580" w:rsidRDefault="00505580">
      <w:pPr>
        <w:pStyle w:val="FootnoteText"/>
        <w:rPr>
          <w:lang w:val="ru-RU"/>
        </w:rPr>
      </w:pPr>
      <w:r>
        <w:rPr>
          <w:rStyle w:val="FootnoteReference"/>
        </w:rPr>
        <w:footnoteRef/>
      </w:r>
      <w:r>
        <w:rPr>
          <w:color w:val="000000"/>
          <w:lang w:val="ru-RU"/>
        </w:rPr>
        <w:tab/>
        <w:t>Пример из: Павлова, Людмила "Международное право в правовой системе государств",</w:t>
      </w:r>
    </w:p>
  </w:footnote>
  <w:footnote w:id="4">
    <w:p w:rsidR="00FA7DF6" w:rsidRPr="00505580" w:rsidRDefault="00505580">
      <w:pPr>
        <w:pStyle w:val="FootnoteText"/>
        <w:rPr>
          <w:lang w:val="ru-RU"/>
        </w:rPr>
      </w:pPr>
      <w:r>
        <w:rPr>
          <w:rStyle w:val="FootnoteReference"/>
        </w:rPr>
        <w:footnoteRef/>
      </w:r>
      <w:r>
        <w:rPr>
          <w:color w:val="000000"/>
          <w:lang w:val="ru-RU"/>
        </w:rPr>
        <w:tab/>
        <w:t xml:space="preserve">Часть 4 статьи 15 Конституции Российской Федерации гласит: «Общепризнанные принципы и нормы международного права и международные договоры Российской Федерации являются составной частью ее правовой системы. Если международным договором Российской Федерации установлены иные правила, чем предусмотренные законом, то применяются правила международного договора». Конституция Российской Федерации 1993 г. (с изменениями и дополнениями, принятыми  Указом Президента РФ от 9 января 1996 г. </w:t>
      </w:r>
      <w:r>
        <w:rPr>
          <w:color w:val="000000"/>
        </w:rPr>
        <w:t>N</w:t>
      </w:r>
      <w:r>
        <w:rPr>
          <w:color w:val="000000"/>
          <w:lang w:val="ru-RU"/>
        </w:rPr>
        <w:t xml:space="preserve"> 20, от 10 февраля 1996 г. </w:t>
      </w:r>
      <w:r>
        <w:rPr>
          <w:color w:val="000000"/>
        </w:rPr>
        <w:t>N</w:t>
      </w:r>
      <w:r>
        <w:rPr>
          <w:color w:val="000000"/>
          <w:lang w:val="ru-RU"/>
        </w:rPr>
        <w:t xml:space="preserve"> 173,от 9 июня 2001 г. </w:t>
      </w:r>
      <w:r>
        <w:rPr>
          <w:color w:val="000000"/>
        </w:rPr>
        <w:t>N</w:t>
      </w:r>
      <w:r>
        <w:rPr>
          <w:color w:val="000000"/>
          <w:lang w:val="ru-RU"/>
        </w:rPr>
        <w:t xml:space="preserve"> 679,от 25 июля 2003 г. </w:t>
      </w:r>
      <w:r>
        <w:rPr>
          <w:color w:val="000000"/>
        </w:rPr>
        <w:t>N</w:t>
      </w:r>
      <w:r>
        <w:rPr>
          <w:color w:val="000000"/>
          <w:lang w:val="ru-RU"/>
        </w:rPr>
        <w:t xml:space="preserve"> 841).</w:t>
      </w:r>
    </w:p>
  </w:footnote>
  <w:footnote w:id="5">
    <w:p w:rsidR="00FA7DF6" w:rsidRDefault="00505580">
      <w:pPr>
        <w:pStyle w:val="Footnote"/>
      </w:pPr>
      <w:r>
        <w:rPr>
          <w:rStyle w:val="FootnoteReference"/>
        </w:rPr>
        <w:footnoteRef/>
      </w:r>
      <w:r>
        <w:rPr>
          <w:lang w:val="ru-RU"/>
        </w:rPr>
        <w:t xml:space="preserve">Барбук А.В. Непосредственное применение международных догворов в национальной правовой системе / А.В. Барбук // Журнал международного права и международных отношений. </w:t>
      </w:r>
      <w:r>
        <w:t xml:space="preserve">2006. № 4. </w:t>
      </w:r>
      <w:proofErr w:type="gramStart"/>
      <w:r>
        <w:t>[</w:t>
      </w:r>
      <w:proofErr w:type="spellStart"/>
      <w:r>
        <w:t>Электронный</w:t>
      </w:r>
      <w:proofErr w:type="spellEnd"/>
      <w:r>
        <w:t xml:space="preserve"> </w:t>
      </w:r>
      <w:proofErr w:type="spellStart"/>
      <w:r>
        <w:t>ресурс</w:t>
      </w:r>
      <w:proofErr w:type="spellEnd"/>
      <w:r>
        <w:t>].</w:t>
      </w:r>
      <w:proofErr w:type="gramEnd"/>
      <w:r>
        <w:t xml:space="preserve"> Mode of access: &lt;http://evolutio.info/index.php?option=com_content&amp;task=view&amp;id=1052&amp;Itemid=181&gt;  Date of access: 12.07.09</w:t>
      </w:r>
    </w:p>
  </w:footnote>
  <w:footnote w:id="6">
    <w:p w:rsidR="00FA7DF6" w:rsidRDefault="00505580">
      <w:pPr>
        <w:pStyle w:val="Footnote"/>
      </w:pPr>
      <w:r>
        <w:rPr>
          <w:rStyle w:val="FootnoteReference"/>
        </w:rPr>
        <w:footnoteRef/>
      </w:r>
      <w:hyperlink r:id="rId1" w:history="1">
        <w:r>
          <w:rPr>
            <w:rStyle w:val="Internetlink"/>
          </w:rPr>
          <w:t>http://un.by/documents/humrights/viennaprog/</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011FC"/>
    <w:multiLevelType w:val="multilevel"/>
    <w:tmpl w:val="66B833EE"/>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nsid w:val="12020ACE"/>
    <w:multiLevelType w:val="multilevel"/>
    <w:tmpl w:val="5B4CFDFC"/>
    <w:styleLink w:val="WW8Num17"/>
    <w:lvl w:ilvl="0">
      <w:numFmt w:val="bullet"/>
      <w:lvlText w:val=""/>
      <w:lvlJc w:val="left"/>
      <w:rPr>
        <w:rFonts w:ascii="Symbol" w:hAnsi="Symbol"/>
      </w:rPr>
    </w:lvl>
    <w:lvl w:ilvl="1">
      <w:numFmt w:val="bullet"/>
      <w:lvlText w:val="◦"/>
      <w:lvlJc w:val="left"/>
      <w:rPr>
        <w:rFonts w:ascii="OpenSymbol, 'Arial Unicode MS'" w:hAnsi="OpenSymbol, 'Arial Unicode MS'" w:cs="Courier New"/>
      </w:rPr>
    </w:lvl>
    <w:lvl w:ilvl="2">
      <w:numFmt w:val="bullet"/>
      <w:lvlText w:val="▪"/>
      <w:lvlJc w:val="left"/>
      <w:rPr>
        <w:rFonts w:ascii="OpenSymbol, 'Arial Unicode MS'" w:hAnsi="OpenSymbol, 'Arial Unicode MS'" w:cs="Courier New"/>
      </w:rPr>
    </w:lvl>
    <w:lvl w:ilvl="3">
      <w:numFmt w:val="bullet"/>
      <w:lvlText w:val=""/>
      <w:lvlJc w:val="left"/>
      <w:rPr>
        <w:rFonts w:ascii="Symbol" w:hAnsi="Symbol"/>
      </w:rPr>
    </w:lvl>
    <w:lvl w:ilvl="4">
      <w:numFmt w:val="bullet"/>
      <w:lvlText w:val="◦"/>
      <w:lvlJc w:val="left"/>
      <w:rPr>
        <w:rFonts w:ascii="OpenSymbol, 'Arial Unicode MS'" w:hAnsi="OpenSymbol, 'Arial Unicode MS'" w:cs="Courier New"/>
      </w:rPr>
    </w:lvl>
    <w:lvl w:ilvl="5">
      <w:numFmt w:val="bullet"/>
      <w:lvlText w:val="▪"/>
      <w:lvlJc w:val="left"/>
      <w:rPr>
        <w:rFonts w:ascii="OpenSymbol, 'Arial Unicode MS'" w:hAnsi="OpenSymbol, 'Arial Unicode MS'" w:cs="Courier New"/>
      </w:rPr>
    </w:lvl>
    <w:lvl w:ilvl="6">
      <w:numFmt w:val="bullet"/>
      <w:lvlText w:val=""/>
      <w:lvlJc w:val="left"/>
      <w:rPr>
        <w:rFonts w:ascii="Symbol" w:hAnsi="Symbol"/>
      </w:rPr>
    </w:lvl>
    <w:lvl w:ilvl="7">
      <w:numFmt w:val="bullet"/>
      <w:lvlText w:val="◦"/>
      <w:lvlJc w:val="left"/>
      <w:rPr>
        <w:rFonts w:ascii="OpenSymbol, 'Arial Unicode MS'" w:hAnsi="OpenSymbol, 'Arial Unicode MS'" w:cs="Courier New"/>
      </w:rPr>
    </w:lvl>
    <w:lvl w:ilvl="8">
      <w:numFmt w:val="bullet"/>
      <w:lvlText w:val="▪"/>
      <w:lvlJc w:val="left"/>
      <w:rPr>
        <w:rFonts w:ascii="OpenSymbol, 'Arial Unicode MS'" w:hAnsi="OpenSymbol, 'Arial Unicode MS'" w:cs="Courier New"/>
      </w:rPr>
    </w:lvl>
  </w:abstractNum>
  <w:abstractNum w:abstractNumId="2">
    <w:nsid w:val="1DA85F5F"/>
    <w:multiLevelType w:val="multilevel"/>
    <w:tmpl w:val="00D67566"/>
    <w:styleLink w:val="WW8Num16"/>
    <w:lvl w:ilvl="0">
      <w:numFmt w:val="bullet"/>
      <w:lvlText w:val=""/>
      <w:lvlJc w:val="left"/>
      <w:rPr>
        <w:rFonts w:ascii="Symbol" w:hAnsi="Symbol"/>
      </w:rPr>
    </w:lvl>
    <w:lvl w:ilvl="1">
      <w:numFmt w:val="bullet"/>
      <w:lvlText w:val="◦"/>
      <w:lvlJc w:val="left"/>
      <w:rPr>
        <w:rFonts w:ascii="OpenSymbol, 'Arial Unicode MS'" w:hAnsi="OpenSymbol, 'Arial Unicode MS'" w:cs="Courier New"/>
      </w:rPr>
    </w:lvl>
    <w:lvl w:ilvl="2">
      <w:numFmt w:val="bullet"/>
      <w:lvlText w:val="▪"/>
      <w:lvlJc w:val="left"/>
      <w:rPr>
        <w:rFonts w:ascii="OpenSymbol, 'Arial Unicode MS'" w:hAnsi="OpenSymbol, 'Arial Unicode MS'" w:cs="Courier New"/>
      </w:rPr>
    </w:lvl>
    <w:lvl w:ilvl="3">
      <w:numFmt w:val="bullet"/>
      <w:lvlText w:val=""/>
      <w:lvlJc w:val="left"/>
      <w:rPr>
        <w:rFonts w:ascii="Symbol" w:hAnsi="Symbol"/>
      </w:rPr>
    </w:lvl>
    <w:lvl w:ilvl="4">
      <w:numFmt w:val="bullet"/>
      <w:lvlText w:val="◦"/>
      <w:lvlJc w:val="left"/>
      <w:rPr>
        <w:rFonts w:ascii="OpenSymbol, 'Arial Unicode MS'" w:hAnsi="OpenSymbol, 'Arial Unicode MS'" w:cs="Courier New"/>
      </w:rPr>
    </w:lvl>
    <w:lvl w:ilvl="5">
      <w:numFmt w:val="bullet"/>
      <w:lvlText w:val="▪"/>
      <w:lvlJc w:val="left"/>
      <w:rPr>
        <w:rFonts w:ascii="OpenSymbol, 'Arial Unicode MS'" w:hAnsi="OpenSymbol, 'Arial Unicode MS'" w:cs="Courier New"/>
      </w:rPr>
    </w:lvl>
    <w:lvl w:ilvl="6">
      <w:numFmt w:val="bullet"/>
      <w:lvlText w:val=""/>
      <w:lvlJc w:val="left"/>
      <w:rPr>
        <w:rFonts w:ascii="Symbol" w:hAnsi="Symbol"/>
      </w:rPr>
    </w:lvl>
    <w:lvl w:ilvl="7">
      <w:numFmt w:val="bullet"/>
      <w:lvlText w:val="◦"/>
      <w:lvlJc w:val="left"/>
      <w:rPr>
        <w:rFonts w:ascii="OpenSymbol, 'Arial Unicode MS'" w:hAnsi="OpenSymbol, 'Arial Unicode MS'" w:cs="Courier New"/>
      </w:rPr>
    </w:lvl>
    <w:lvl w:ilvl="8">
      <w:numFmt w:val="bullet"/>
      <w:lvlText w:val="▪"/>
      <w:lvlJc w:val="left"/>
      <w:rPr>
        <w:rFonts w:ascii="OpenSymbol, 'Arial Unicode MS'" w:hAnsi="OpenSymbol, 'Arial Unicode MS'" w:cs="Courier New"/>
      </w:rPr>
    </w:lvl>
  </w:abstractNum>
  <w:abstractNum w:abstractNumId="3">
    <w:nsid w:val="1F814D90"/>
    <w:multiLevelType w:val="multilevel"/>
    <w:tmpl w:val="C64E290A"/>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4">
    <w:nsid w:val="357B5D7B"/>
    <w:multiLevelType w:val="multilevel"/>
    <w:tmpl w:val="051A026A"/>
    <w:styleLink w:val="WW8Num8"/>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nsid w:val="3CD857C9"/>
    <w:multiLevelType w:val="multilevel"/>
    <w:tmpl w:val="09F8DB20"/>
    <w:styleLink w:val="WW8Num18"/>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6">
    <w:nsid w:val="43BA6619"/>
    <w:multiLevelType w:val="multilevel"/>
    <w:tmpl w:val="18969DCA"/>
    <w:styleLink w:val="WW8Num5"/>
    <w:lvl w:ilvl="0">
      <w:start w:val="1"/>
      <w:numFmt w:val="decimal"/>
      <w:lvlText w:val="%1)"/>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nsid w:val="44680257"/>
    <w:multiLevelType w:val="multilevel"/>
    <w:tmpl w:val="EAE84C70"/>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8">
    <w:nsid w:val="56CC0E42"/>
    <w:multiLevelType w:val="multilevel"/>
    <w:tmpl w:val="53ECE9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nsid w:val="6D6B6908"/>
    <w:multiLevelType w:val="multilevel"/>
    <w:tmpl w:val="42DEC7D4"/>
    <w:styleLink w:val="WW8Num6"/>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nsid w:val="71715C8F"/>
    <w:multiLevelType w:val="multilevel"/>
    <w:tmpl w:val="3CD05BE6"/>
    <w:styleLink w:val="WW8Num4"/>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725D2A63"/>
    <w:multiLevelType w:val="multilevel"/>
    <w:tmpl w:val="A5345D28"/>
    <w:styleLink w:val="WW8Num1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7CFB026B"/>
    <w:multiLevelType w:val="multilevel"/>
    <w:tmpl w:val="BDC83D64"/>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num w:numId="1">
    <w:abstractNumId w:val="4"/>
  </w:num>
  <w:num w:numId="2">
    <w:abstractNumId w:val="10"/>
  </w:num>
  <w:num w:numId="3">
    <w:abstractNumId w:val="11"/>
  </w:num>
  <w:num w:numId="4">
    <w:abstractNumId w:val="2"/>
  </w:num>
  <w:num w:numId="5">
    <w:abstractNumId w:val="1"/>
  </w:num>
  <w:num w:numId="6">
    <w:abstractNumId w:val="5"/>
  </w:num>
  <w:num w:numId="7">
    <w:abstractNumId w:val="9"/>
  </w:num>
  <w:num w:numId="8">
    <w:abstractNumId w:val="6"/>
  </w:num>
  <w:num w:numId="9">
    <w:abstractNumId w:val="8"/>
  </w:num>
  <w:num w:numId="10">
    <w:abstractNumId w:val="2"/>
  </w:num>
  <w:num w:numId="11">
    <w:abstractNumId w:val="1"/>
  </w:num>
  <w:num w:numId="12">
    <w:abstractNumId w:val="6"/>
    <w:lvlOverride w:ilvl="0">
      <w:startOverride w:val="1"/>
    </w:lvlOverride>
  </w:num>
  <w:num w:numId="13">
    <w:abstractNumId w:val="9"/>
  </w:num>
  <w:num w:numId="14">
    <w:abstractNumId w:val="0"/>
  </w:num>
  <w:num w:numId="15">
    <w:abstractNumId w:val="7"/>
  </w:num>
  <w:num w:numId="16">
    <w:abstractNumId w:val="12"/>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FA7DF6"/>
    <w:rsid w:val="001B0DA6"/>
    <w:rsid w:val="004F7AB5"/>
    <w:rsid w:val="00505580"/>
    <w:rsid w:val="007B349B"/>
    <w:rsid w:val="00D35FF6"/>
    <w:rsid w:val="00FA7DF6"/>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Mangal"/>
        <w:kern w:val="3"/>
        <w:sz w:val="24"/>
        <w:szCs w:val="24"/>
        <w:lang w:val="en-US"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paragraph" w:styleId="Heading1">
    <w:name w:val="heading 1"/>
    <w:basedOn w:val="Standard"/>
    <w:next w:val="Standard"/>
    <w:pPr>
      <w:keepNext/>
      <w:jc w:val="both"/>
      <w:outlineLvl w:val="0"/>
    </w:pPr>
    <w:rPr>
      <w:b/>
      <w:bCs/>
    </w:rPr>
  </w:style>
  <w:style w:type="paragraph" w:styleId="Heading2">
    <w:name w:val="heading 2"/>
    <w:basedOn w:val="Standard"/>
    <w:next w:val="Standard"/>
    <w:pPr>
      <w:keepNext/>
      <w:ind w:right="-451"/>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suppressAutoHyphens/>
    </w:pPr>
  </w:style>
  <w:style w:type="paragraph" w:styleId="Title">
    <w:name w:val="Title"/>
    <w:basedOn w:val="Standard"/>
    <w:next w:val="Textbody"/>
    <w:pPr>
      <w:keepNext/>
      <w:spacing w:before="240" w:after="120"/>
    </w:pPr>
    <w:rPr>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Footnote">
    <w:name w:val="Footnote"/>
    <w:basedOn w:val="Standard"/>
    <w:pPr>
      <w:suppressLineNumbers/>
      <w:ind w:left="283" w:hanging="283"/>
    </w:pPr>
    <w:rPr>
      <w:sz w:val="20"/>
      <w:szCs w:val="20"/>
    </w:rPr>
  </w:style>
  <w:style w:type="paragraph" w:styleId="FootnoteText">
    <w:name w:val="footnote text"/>
    <w:basedOn w:val="Normal"/>
    <w:rPr>
      <w:sz w:val="20"/>
      <w:szCs w:val="18"/>
    </w:rPr>
  </w:style>
  <w:style w:type="character" w:customStyle="1" w:styleId="WW8Num8z0">
    <w:name w:val="WW8Num8z0"/>
    <w:rPr>
      <w:rFonts w:ascii="Symbol" w:hAnsi="Symbol"/>
    </w:rPr>
  </w:style>
  <w:style w:type="character" w:customStyle="1" w:styleId="WW8Num4z0">
    <w:name w:val="WW8Num4z0"/>
    <w:rPr>
      <w:rFonts w:ascii="Symbol" w:hAnsi="Symbol"/>
    </w:r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WW8Num16z0">
    <w:name w:val="WW8Num16z0"/>
    <w:rPr>
      <w:rFonts w:ascii="Symbol" w:hAnsi="Symbol"/>
    </w:rPr>
  </w:style>
  <w:style w:type="character" w:customStyle="1" w:styleId="WW8Num16z1">
    <w:name w:val="WW8Num16z1"/>
    <w:rPr>
      <w:rFonts w:ascii="OpenSymbol, 'Arial Unicode MS'" w:hAnsi="OpenSymbol, 'Arial Unicode MS'" w:cs="Courier New"/>
    </w:rPr>
  </w:style>
  <w:style w:type="character" w:customStyle="1" w:styleId="WW8Num17z0">
    <w:name w:val="WW8Num17z0"/>
    <w:rPr>
      <w:rFonts w:ascii="Symbol" w:hAnsi="Symbol"/>
    </w:rPr>
  </w:style>
  <w:style w:type="character" w:customStyle="1" w:styleId="WW8Num17z1">
    <w:name w:val="WW8Num17z1"/>
    <w:rPr>
      <w:rFonts w:ascii="Courier New" w:hAnsi="Courier New" w:cs="Courier New"/>
    </w:rPr>
  </w:style>
  <w:style w:type="character" w:customStyle="1" w:styleId="WW8Num18z0">
    <w:name w:val="WW8Num18z0"/>
    <w:rPr>
      <w:rFonts w:ascii="Symbol" w:hAnsi="Symbol"/>
    </w:rPr>
  </w:style>
  <w:style w:type="character" w:customStyle="1" w:styleId="WW8Num18z1">
    <w:name w:val="WW8Num18z1"/>
    <w:rPr>
      <w:rFonts w:ascii="OpenSymbol, 'Arial Unicode MS'" w:hAnsi="OpenSymbol, 'Arial Unicode MS'" w:cs="OpenSymbol, 'Arial Unicode MS'"/>
    </w:rPr>
  </w:style>
  <w:style w:type="character" w:customStyle="1" w:styleId="WW8Num6z0">
    <w:name w:val="WW8Num6z0"/>
    <w:rPr>
      <w:rFonts w:ascii="Symbol" w:hAnsi="Symbol"/>
    </w:rPr>
  </w:style>
  <w:style w:type="character" w:customStyle="1" w:styleId="WW-FootnoteReference">
    <w:name w:val="WW-Footnote Reference"/>
    <w:rPr>
      <w:position w:val="0"/>
      <w:vertAlign w:val="superscript"/>
    </w:rPr>
  </w:style>
  <w:style w:type="character" w:customStyle="1" w:styleId="WW8Num5z0">
    <w:name w:val="WW8Num5z0"/>
    <w:rPr>
      <w:rFonts w:ascii="Symbol" w:hAnsi="Symbol"/>
    </w:rPr>
  </w:style>
  <w:style w:type="character" w:customStyle="1" w:styleId="NumberingSymbols">
    <w:name w:val="Numbering Symbols"/>
  </w:style>
  <w:style w:type="character" w:customStyle="1" w:styleId="a">
    <w:name w:val="Основной шрифт абзаца"/>
  </w:style>
  <w:style w:type="character" w:customStyle="1" w:styleId="Internetlink">
    <w:name w:val="Internet link"/>
    <w:basedOn w:val="a"/>
    <w:rPr>
      <w:color w:val="0000FF"/>
      <w:u w:val="single"/>
    </w:rPr>
  </w:style>
  <w:style w:type="character" w:customStyle="1" w:styleId="BulletSymbols">
    <w:name w:val="Bullet Symbols"/>
    <w:rPr>
      <w:rFonts w:ascii="OpenSymbol" w:eastAsia="OpenSymbol" w:hAnsi="OpenSymbol" w:cs="OpenSymbol"/>
    </w:rPr>
  </w:style>
  <w:style w:type="character" w:styleId="FootnoteReference">
    <w:name w:val="footnote reference"/>
    <w:basedOn w:val="DefaultParagraphFont"/>
    <w:rPr>
      <w:position w:val="0"/>
      <w:vertAlign w:val="superscript"/>
    </w:rPr>
  </w:style>
  <w:style w:type="character" w:customStyle="1" w:styleId="FootnoteTextChar">
    <w:name w:val="Footnote Text Char"/>
    <w:basedOn w:val="DefaultParagraphFont"/>
    <w:rPr>
      <w:sz w:val="20"/>
      <w:szCs w:val="18"/>
    </w:rPr>
  </w:style>
  <w:style w:type="character" w:customStyle="1" w:styleId="FootnoteCharacters">
    <w:name w:val="Footnote Characters"/>
    <w:rPr>
      <w:position w:val="0"/>
      <w:vertAlign w:val="superscript"/>
    </w:rPr>
  </w:style>
  <w:style w:type="numbering" w:customStyle="1" w:styleId="WW8Num8">
    <w:name w:val="WW8Num8"/>
    <w:basedOn w:val="NoList"/>
    <w:pPr>
      <w:numPr>
        <w:numId w:val="1"/>
      </w:numPr>
    </w:pPr>
  </w:style>
  <w:style w:type="numbering" w:customStyle="1" w:styleId="WW8Num4">
    <w:name w:val="WW8Num4"/>
    <w:basedOn w:val="NoList"/>
    <w:pPr>
      <w:numPr>
        <w:numId w:val="2"/>
      </w:numPr>
    </w:pPr>
  </w:style>
  <w:style w:type="numbering" w:customStyle="1" w:styleId="WW8Num12">
    <w:name w:val="WW8Num12"/>
    <w:basedOn w:val="NoList"/>
    <w:pPr>
      <w:numPr>
        <w:numId w:val="3"/>
      </w:numPr>
    </w:pPr>
  </w:style>
  <w:style w:type="numbering" w:customStyle="1" w:styleId="WW8Num16">
    <w:name w:val="WW8Num16"/>
    <w:basedOn w:val="NoList"/>
    <w:pPr>
      <w:numPr>
        <w:numId w:val="4"/>
      </w:numPr>
    </w:pPr>
  </w:style>
  <w:style w:type="numbering" w:customStyle="1" w:styleId="WW8Num17">
    <w:name w:val="WW8Num17"/>
    <w:basedOn w:val="NoList"/>
    <w:pPr>
      <w:numPr>
        <w:numId w:val="5"/>
      </w:numPr>
    </w:pPr>
  </w:style>
  <w:style w:type="numbering" w:customStyle="1" w:styleId="WW8Num18">
    <w:name w:val="WW8Num18"/>
    <w:basedOn w:val="NoList"/>
    <w:pPr>
      <w:numPr>
        <w:numId w:val="6"/>
      </w:numPr>
    </w:pPr>
  </w:style>
  <w:style w:type="numbering" w:customStyle="1" w:styleId="WW8Num6">
    <w:name w:val="WW8Num6"/>
    <w:basedOn w:val="NoList"/>
    <w:pPr>
      <w:numPr>
        <w:numId w:val="7"/>
      </w:numPr>
    </w:pPr>
  </w:style>
  <w:style w:type="numbering" w:customStyle="1" w:styleId="WW8Num5">
    <w:name w:val="WW8Num5"/>
    <w:basedOn w:val="NoList"/>
    <w:pPr>
      <w:numPr>
        <w:numId w:val="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Mangal"/>
        <w:kern w:val="3"/>
        <w:sz w:val="24"/>
        <w:szCs w:val="24"/>
        <w:lang w:val="en-US"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paragraph" w:styleId="Heading1">
    <w:name w:val="heading 1"/>
    <w:basedOn w:val="Standard"/>
    <w:next w:val="Standard"/>
    <w:pPr>
      <w:keepNext/>
      <w:jc w:val="both"/>
      <w:outlineLvl w:val="0"/>
    </w:pPr>
    <w:rPr>
      <w:b/>
      <w:bCs/>
    </w:rPr>
  </w:style>
  <w:style w:type="paragraph" w:styleId="Heading2">
    <w:name w:val="heading 2"/>
    <w:basedOn w:val="Standard"/>
    <w:next w:val="Standard"/>
    <w:pPr>
      <w:keepNext/>
      <w:ind w:right="-451"/>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suppressAutoHyphens/>
    </w:pPr>
  </w:style>
  <w:style w:type="paragraph" w:styleId="Title">
    <w:name w:val="Title"/>
    <w:basedOn w:val="Standard"/>
    <w:next w:val="Textbody"/>
    <w:pPr>
      <w:keepNext/>
      <w:spacing w:before="240" w:after="120"/>
    </w:pPr>
    <w:rPr>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Footnote">
    <w:name w:val="Footnote"/>
    <w:basedOn w:val="Standard"/>
    <w:pPr>
      <w:suppressLineNumbers/>
      <w:ind w:left="283" w:hanging="283"/>
    </w:pPr>
    <w:rPr>
      <w:sz w:val="20"/>
      <w:szCs w:val="20"/>
    </w:rPr>
  </w:style>
  <w:style w:type="paragraph" w:styleId="FootnoteText">
    <w:name w:val="footnote text"/>
    <w:basedOn w:val="Normal"/>
    <w:rPr>
      <w:sz w:val="20"/>
      <w:szCs w:val="18"/>
    </w:rPr>
  </w:style>
  <w:style w:type="character" w:customStyle="1" w:styleId="WW8Num8z0">
    <w:name w:val="WW8Num8z0"/>
    <w:rPr>
      <w:rFonts w:ascii="Symbol" w:hAnsi="Symbol"/>
    </w:rPr>
  </w:style>
  <w:style w:type="character" w:customStyle="1" w:styleId="WW8Num4z0">
    <w:name w:val="WW8Num4z0"/>
    <w:rPr>
      <w:rFonts w:ascii="Symbol" w:hAnsi="Symbol"/>
    </w:r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WW8Num16z0">
    <w:name w:val="WW8Num16z0"/>
    <w:rPr>
      <w:rFonts w:ascii="Symbol" w:hAnsi="Symbol"/>
    </w:rPr>
  </w:style>
  <w:style w:type="character" w:customStyle="1" w:styleId="WW8Num16z1">
    <w:name w:val="WW8Num16z1"/>
    <w:rPr>
      <w:rFonts w:ascii="OpenSymbol, 'Arial Unicode MS'" w:hAnsi="OpenSymbol, 'Arial Unicode MS'" w:cs="Courier New"/>
    </w:rPr>
  </w:style>
  <w:style w:type="character" w:customStyle="1" w:styleId="WW8Num17z0">
    <w:name w:val="WW8Num17z0"/>
    <w:rPr>
      <w:rFonts w:ascii="Symbol" w:hAnsi="Symbol"/>
    </w:rPr>
  </w:style>
  <w:style w:type="character" w:customStyle="1" w:styleId="WW8Num17z1">
    <w:name w:val="WW8Num17z1"/>
    <w:rPr>
      <w:rFonts w:ascii="Courier New" w:hAnsi="Courier New" w:cs="Courier New"/>
    </w:rPr>
  </w:style>
  <w:style w:type="character" w:customStyle="1" w:styleId="WW8Num18z0">
    <w:name w:val="WW8Num18z0"/>
    <w:rPr>
      <w:rFonts w:ascii="Symbol" w:hAnsi="Symbol"/>
    </w:rPr>
  </w:style>
  <w:style w:type="character" w:customStyle="1" w:styleId="WW8Num18z1">
    <w:name w:val="WW8Num18z1"/>
    <w:rPr>
      <w:rFonts w:ascii="OpenSymbol, 'Arial Unicode MS'" w:hAnsi="OpenSymbol, 'Arial Unicode MS'" w:cs="OpenSymbol, 'Arial Unicode MS'"/>
    </w:rPr>
  </w:style>
  <w:style w:type="character" w:customStyle="1" w:styleId="WW8Num6z0">
    <w:name w:val="WW8Num6z0"/>
    <w:rPr>
      <w:rFonts w:ascii="Symbol" w:hAnsi="Symbol"/>
    </w:rPr>
  </w:style>
  <w:style w:type="character" w:customStyle="1" w:styleId="WW-FootnoteReference">
    <w:name w:val="WW-Footnote Reference"/>
    <w:rPr>
      <w:position w:val="0"/>
      <w:vertAlign w:val="superscript"/>
    </w:rPr>
  </w:style>
  <w:style w:type="character" w:customStyle="1" w:styleId="WW8Num5z0">
    <w:name w:val="WW8Num5z0"/>
    <w:rPr>
      <w:rFonts w:ascii="Symbol" w:hAnsi="Symbol"/>
    </w:rPr>
  </w:style>
  <w:style w:type="character" w:customStyle="1" w:styleId="NumberingSymbols">
    <w:name w:val="Numbering Symbols"/>
  </w:style>
  <w:style w:type="character" w:customStyle="1" w:styleId="a">
    <w:name w:val="Основной шрифт абзаца"/>
  </w:style>
  <w:style w:type="character" w:customStyle="1" w:styleId="Internetlink">
    <w:name w:val="Internet link"/>
    <w:basedOn w:val="a"/>
    <w:rPr>
      <w:color w:val="0000FF"/>
      <w:u w:val="single"/>
    </w:rPr>
  </w:style>
  <w:style w:type="character" w:customStyle="1" w:styleId="BulletSymbols">
    <w:name w:val="Bullet Symbols"/>
    <w:rPr>
      <w:rFonts w:ascii="OpenSymbol" w:eastAsia="OpenSymbol" w:hAnsi="OpenSymbol" w:cs="OpenSymbol"/>
    </w:rPr>
  </w:style>
  <w:style w:type="character" w:styleId="FootnoteReference">
    <w:name w:val="footnote reference"/>
    <w:basedOn w:val="DefaultParagraphFont"/>
    <w:rPr>
      <w:position w:val="0"/>
      <w:vertAlign w:val="superscript"/>
    </w:rPr>
  </w:style>
  <w:style w:type="character" w:customStyle="1" w:styleId="FootnoteTextChar">
    <w:name w:val="Footnote Text Char"/>
    <w:basedOn w:val="DefaultParagraphFont"/>
    <w:rPr>
      <w:sz w:val="20"/>
      <w:szCs w:val="18"/>
    </w:rPr>
  </w:style>
  <w:style w:type="character" w:customStyle="1" w:styleId="FootnoteCharacters">
    <w:name w:val="Footnote Characters"/>
    <w:rPr>
      <w:position w:val="0"/>
      <w:vertAlign w:val="superscript"/>
    </w:rPr>
  </w:style>
  <w:style w:type="numbering" w:customStyle="1" w:styleId="WW8Num8">
    <w:name w:val="WW8Num8"/>
    <w:basedOn w:val="NoList"/>
    <w:pPr>
      <w:numPr>
        <w:numId w:val="1"/>
      </w:numPr>
    </w:pPr>
  </w:style>
  <w:style w:type="numbering" w:customStyle="1" w:styleId="WW8Num4">
    <w:name w:val="WW8Num4"/>
    <w:basedOn w:val="NoList"/>
    <w:pPr>
      <w:numPr>
        <w:numId w:val="2"/>
      </w:numPr>
    </w:pPr>
  </w:style>
  <w:style w:type="numbering" w:customStyle="1" w:styleId="WW8Num12">
    <w:name w:val="WW8Num12"/>
    <w:basedOn w:val="NoList"/>
    <w:pPr>
      <w:numPr>
        <w:numId w:val="3"/>
      </w:numPr>
    </w:pPr>
  </w:style>
  <w:style w:type="numbering" w:customStyle="1" w:styleId="WW8Num16">
    <w:name w:val="WW8Num16"/>
    <w:basedOn w:val="NoList"/>
    <w:pPr>
      <w:numPr>
        <w:numId w:val="4"/>
      </w:numPr>
    </w:pPr>
  </w:style>
  <w:style w:type="numbering" w:customStyle="1" w:styleId="WW8Num17">
    <w:name w:val="WW8Num17"/>
    <w:basedOn w:val="NoList"/>
    <w:pPr>
      <w:numPr>
        <w:numId w:val="5"/>
      </w:numPr>
    </w:pPr>
  </w:style>
  <w:style w:type="numbering" w:customStyle="1" w:styleId="WW8Num18">
    <w:name w:val="WW8Num18"/>
    <w:basedOn w:val="NoList"/>
    <w:pPr>
      <w:numPr>
        <w:numId w:val="6"/>
      </w:numPr>
    </w:pPr>
  </w:style>
  <w:style w:type="numbering" w:customStyle="1" w:styleId="WW8Num6">
    <w:name w:val="WW8Num6"/>
    <w:basedOn w:val="NoList"/>
    <w:pPr>
      <w:numPr>
        <w:numId w:val="7"/>
      </w:numPr>
    </w:pPr>
  </w:style>
  <w:style w:type="numbering" w:customStyle="1" w:styleId="WW8Num5">
    <w:name w:val="WW8Num5"/>
    <w:basedOn w:val="NoList"/>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un.by/documents/humrights/viennapro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606</Words>
  <Characters>3217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Liudmila Ulyashyna</dc:creator>
  <cp:lastModifiedBy>Liudmila Ulyashyna</cp:lastModifiedBy>
  <cp:revision>4</cp:revision>
  <dcterms:created xsi:type="dcterms:W3CDTF">2012-05-23T15:53:00Z</dcterms:created>
  <dcterms:modified xsi:type="dcterms:W3CDTF">2012-05-23T15:54:00Z</dcterms:modified>
</cp:coreProperties>
</file>