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068" w:rsidRDefault="002B4068" w:rsidP="002B4068">
      <w:pPr>
        <w:pStyle w:val="2"/>
        <w:numPr>
          <w:ilvl w:val="1"/>
          <w:numId w:val="1"/>
        </w:numPr>
        <w:spacing w:before="0"/>
        <w:jc w:val="center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bookmarkStart w:id="0" w:name="_Toc263757255"/>
      <w:r w:rsidRPr="008E242C">
        <w:rPr>
          <w:rFonts w:ascii="Times New Roman" w:hAnsi="Times New Roman" w:cs="Times New Roman"/>
          <w:b w:val="0"/>
          <w:color w:val="000000"/>
          <w:sz w:val="24"/>
          <w:szCs w:val="24"/>
        </w:rPr>
        <w:t>Анализ продуктового по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ртфеля туристической компании «</w:t>
      </w:r>
      <w:proofErr w:type="spell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А</w:t>
      </w:r>
      <w:r w:rsidRPr="008E242C">
        <w:rPr>
          <w:rFonts w:ascii="Times New Roman" w:hAnsi="Times New Roman" w:cs="Times New Roman"/>
          <w:b w:val="0"/>
          <w:color w:val="000000"/>
          <w:sz w:val="24"/>
          <w:szCs w:val="24"/>
        </w:rPr>
        <w:t>латан</w:t>
      </w:r>
      <w:proofErr w:type="spellEnd"/>
      <w:r w:rsidRPr="008E242C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тур»</w:t>
      </w:r>
      <w:bookmarkEnd w:id="0"/>
    </w:p>
    <w:p w:rsidR="002B4068" w:rsidRPr="008E242C" w:rsidRDefault="002B4068" w:rsidP="002B4068">
      <w:pPr>
        <w:spacing w:after="0"/>
      </w:pPr>
    </w:p>
    <w:p w:rsidR="002B4068" w:rsidRPr="008E242C" w:rsidRDefault="002B4068" w:rsidP="002B4068">
      <w:pPr>
        <w:pStyle w:val="2"/>
        <w:numPr>
          <w:ilvl w:val="2"/>
          <w:numId w:val="1"/>
        </w:numPr>
        <w:spacing w:before="0"/>
        <w:jc w:val="center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bookmarkStart w:id="1" w:name="_Toc263757256"/>
      <w:proofErr w:type="spell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АВС-анализ</w:t>
      </w:r>
      <w:proofErr w:type="spell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компании «</w:t>
      </w:r>
      <w:proofErr w:type="spell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А</w:t>
      </w:r>
      <w:r w:rsidRPr="008E242C">
        <w:rPr>
          <w:rFonts w:ascii="Times New Roman" w:hAnsi="Times New Roman" w:cs="Times New Roman"/>
          <w:b w:val="0"/>
          <w:color w:val="000000"/>
          <w:sz w:val="24"/>
          <w:szCs w:val="24"/>
        </w:rPr>
        <w:t>латан</w:t>
      </w:r>
      <w:proofErr w:type="spellEnd"/>
      <w:r w:rsidRPr="008E242C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тур»</w:t>
      </w:r>
      <w:bookmarkEnd w:id="1"/>
    </w:p>
    <w:p w:rsidR="002B4068" w:rsidRPr="00A20E52" w:rsidRDefault="002B4068" w:rsidP="002B4068">
      <w:pPr>
        <w:spacing w:after="0"/>
      </w:pPr>
    </w:p>
    <w:p w:rsidR="002B4068" w:rsidRPr="00017EBE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Следующим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 шагом в проведении анализа продуктового портфеля «</w:t>
      </w:r>
      <w:proofErr w:type="spellStart"/>
      <w:r w:rsidRPr="00017EBE">
        <w:rPr>
          <w:rFonts w:ascii="Times New Roman" w:hAnsi="Times New Roman" w:cs="Times New Roman"/>
          <w:color w:val="000000"/>
          <w:sz w:val="24"/>
          <w:szCs w:val="24"/>
        </w:rPr>
        <w:t>Алатан</w:t>
      </w:r>
      <w:proofErr w:type="spellEnd"/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 тур» будет использование такого инструмента, как </w:t>
      </w:r>
      <w:r w:rsidRPr="00017EBE">
        <w:rPr>
          <w:rFonts w:ascii="Times New Roman" w:hAnsi="Times New Roman" w:cs="Times New Roman"/>
          <w:color w:val="000000"/>
          <w:sz w:val="24"/>
          <w:szCs w:val="24"/>
          <w:lang w:val="de-DE"/>
        </w:rPr>
        <w:t>ABC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>-анализ. В основе этого принципа лежит правило Парето, который гласит «за большинство возможных результатов отвечает относительно небольшое число причин»</w:t>
      </w:r>
      <w:r w:rsidRPr="00A95C56">
        <w:rPr>
          <w:rFonts w:ascii="Times New Roman" w:hAnsi="Times New Roman" w:cs="Times New Roman"/>
          <w:color w:val="000000"/>
          <w:sz w:val="24"/>
          <w:szCs w:val="24"/>
        </w:rPr>
        <w:t xml:space="preserve"> [14]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 Этот закон также более известен как «правило - 20 на 80». Важность и необходимость этого анализа заключена в том, что он помогает определить именно те продукты компании, которые смогут </w:t>
      </w:r>
      <w:r>
        <w:rPr>
          <w:rFonts w:ascii="Times New Roman" w:hAnsi="Times New Roman" w:cs="Times New Roman"/>
          <w:color w:val="000000"/>
          <w:sz w:val="24"/>
          <w:szCs w:val="24"/>
        </w:rPr>
        <w:t>повысить объем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 продаж и повысить эффективность всего портфеля организации. Эти показатели напрямую зависят от правильной оценки прибыльности каждого предложения в отдельности. С помощью этого инструмента у организации появится возможность определить группы товаров, которые пользуются наименьшей популярностью, а также те, затраты на которые не окупаются</w:t>
      </w:r>
      <w:r w:rsidRPr="00A95C56">
        <w:rPr>
          <w:rFonts w:ascii="Times New Roman" w:hAnsi="Times New Roman" w:cs="Times New Roman"/>
          <w:color w:val="000000"/>
          <w:sz w:val="24"/>
          <w:szCs w:val="24"/>
        </w:rPr>
        <w:t xml:space="preserve"> [5]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2B4068" w:rsidRPr="00017EBE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Данный анализ следует проводить в несколько последовательных этапов.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Стоит еще раз подчеркнуть те направления, которые мы выбрали для исследования. 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Они представляют собой группу продуктов, которые развивают пляжный туризм. В частности, это поездки в такие страны, как  Объединенные Арабские Эмираты (ОАЭ), Испания, Турция, Египет и Болгария. Выбирая эти направления,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автор ориентировался 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результаты исследований предпочтений потребителей, проведенных внутри компании. 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>Так Турция, Египет и Болгария яв</w:t>
      </w:r>
      <w:r>
        <w:rPr>
          <w:rFonts w:ascii="Times New Roman" w:hAnsi="Times New Roman" w:cs="Times New Roman"/>
          <w:color w:val="000000"/>
          <w:sz w:val="24"/>
          <w:szCs w:val="24"/>
        </w:rPr>
        <w:t>ляются наиболее востребованными направлениями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, а ОАЭ и Испанию можно отнести к числу более высококлассных мест для отдыха. </w:t>
      </w:r>
    </w:p>
    <w:p w:rsidR="002B4068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t>Очевиден тот факт, что некоторые туры, несмотря на более низкий объем продаж, приносят больший дохо</w:t>
      </w:r>
      <w:r>
        <w:rPr>
          <w:rFonts w:ascii="Times New Roman" w:hAnsi="Times New Roman" w:cs="Times New Roman"/>
          <w:color w:val="000000"/>
          <w:sz w:val="24"/>
          <w:szCs w:val="24"/>
        </w:rPr>
        <w:t>д, ввиду более высокой стоимости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. Так, например, стоимость продукта, ориентированного на недельный отдых в пятизвездочном отеле в ОАЭ и Испании,  </w:t>
      </w:r>
      <w:r w:rsidRPr="00A905E6">
        <w:rPr>
          <w:rFonts w:ascii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удет выше, чем в других анализируемых странах и составляет  от 3700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у.е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до 6000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у.е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Результаты  систематизации данных и всех вычислений отображены  в таблице 2.3</w:t>
      </w:r>
      <w:r w:rsidRPr="00A95C5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Стоимость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определялась с учетом условий: 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тур рассчитан на двоих отдыхающих, продолжительность поездки 10 дней с размещением в </w:t>
      </w:r>
      <w:proofErr w:type="spellStart"/>
      <w:r w:rsidRPr="00017EBE">
        <w:rPr>
          <w:rFonts w:ascii="Times New Roman" w:hAnsi="Times New Roman" w:cs="Times New Roman"/>
          <w:color w:val="000000"/>
          <w:sz w:val="24"/>
          <w:szCs w:val="24"/>
        </w:rPr>
        <w:t>четырехзвездочном</w:t>
      </w:r>
      <w:proofErr w:type="spellEnd"/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 отеле с питанием все включено. </w:t>
      </w:r>
    </w:p>
    <w:p w:rsidR="002B4068" w:rsidRDefault="002B4068" w:rsidP="002B406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B4068" w:rsidRPr="00A55994" w:rsidRDefault="002B4068" w:rsidP="002B4068">
      <w:pPr>
        <w:spacing w:after="0" w:line="360" w:lineRule="auto"/>
        <w:ind w:firstLine="56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B4068" w:rsidRPr="00A55994" w:rsidRDefault="002B4068" w:rsidP="002B4068">
      <w:pPr>
        <w:spacing w:after="0" w:line="360" w:lineRule="auto"/>
        <w:ind w:firstLine="56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B4068" w:rsidRDefault="002B4068" w:rsidP="002B4068">
      <w:pPr>
        <w:spacing w:after="0" w:line="360" w:lineRule="auto"/>
        <w:ind w:firstLine="56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B4068" w:rsidRPr="00360038" w:rsidRDefault="002B4068" w:rsidP="002B4068">
      <w:pPr>
        <w:spacing w:after="0" w:line="360" w:lineRule="auto"/>
        <w:ind w:firstLine="56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0038">
        <w:rPr>
          <w:rFonts w:ascii="Times New Roman" w:hAnsi="Times New Roman" w:cs="Times New Roman"/>
          <w:color w:val="000000"/>
          <w:sz w:val="24"/>
          <w:szCs w:val="24"/>
        </w:rPr>
        <w:t xml:space="preserve">Таблица 2.3. </w:t>
      </w:r>
    </w:p>
    <w:p w:rsidR="002B4068" w:rsidRDefault="002B4068" w:rsidP="002B4068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60038">
        <w:rPr>
          <w:rFonts w:ascii="Times New Roman" w:hAnsi="Times New Roman" w:cs="Times New Roman"/>
          <w:color w:val="000000"/>
          <w:sz w:val="24"/>
          <w:szCs w:val="24"/>
        </w:rPr>
        <w:t>Расчет годового оборота анализируемых напр</w:t>
      </w:r>
      <w:r>
        <w:rPr>
          <w:rFonts w:ascii="Times New Roman" w:hAnsi="Times New Roman" w:cs="Times New Roman"/>
          <w:color w:val="000000"/>
          <w:sz w:val="24"/>
          <w:szCs w:val="24"/>
        </w:rPr>
        <w:t>авлений продуктового портфеля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60038">
        <w:rPr>
          <w:rFonts w:ascii="Times New Roman" w:hAnsi="Times New Roman" w:cs="Times New Roman"/>
          <w:color w:val="000000"/>
          <w:sz w:val="24"/>
          <w:szCs w:val="24"/>
        </w:rPr>
        <w:t>латан</w:t>
      </w:r>
      <w:proofErr w:type="spellEnd"/>
      <w:r w:rsidRPr="00360038">
        <w:rPr>
          <w:rFonts w:ascii="Times New Roman" w:hAnsi="Times New Roman" w:cs="Times New Roman"/>
          <w:color w:val="000000"/>
          <w:sz w:val="24"/>
          <w:szCs w:val="24"/>
        </w:rPr>
        <w:t xml:space="preserve"> тур».</w:t>
      </w:r>
    </w:p>
    <w:p w:rsidR="002B4068" w:rsidRPr="00017EBE" w:rsidRDefault="002B4068" w:rsidP="002B4068">
      <w:pPr>
        <w:spacing w:after="0" w:line="36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1418"/>
        <w:gridCol w:w="1842"/>
        <w:gridCol w:w="1843"/>
        <w:gridCol w:w="1418"/>
        <w:gridCol w:w="1559"/>
      </w:tblGrid>
      <w:tr w:rsidR="002B4068" w:rsidRPr="00017EBE" w:rsidTr="008B5064">
        <w:trPr>
          <w:trHeight w:val="123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068" w:rsidRDefault="002B4068" w:rsidP="008B5064">
            <w:pPr>
              <w:spacing w:after="0"/>
              <w:ind w:firstLine="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B4068" w:rsidRDefault="002B4068" w:rsidP="008B5064">
            <w:pPr>
              <w:spacing w:after="0"/>
              <w:ind w:firstLine="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B4068" w:rsidRPr="00017EBE" w:rsidRDefault="002B4068" w:rsidP="008B5064">
            <w:pPr>
              <w:spacing w:after="0"/>
              <w:ind w:firstLine="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Товарная группа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Продукты</w:t>
            </w:r>
          </w:p>
        </w:tc>
        <w:tc>
          <w:tcPr>
            <w:tcW w:w="1842" w:type="dxa"/>
          </w:tcPr>
          <w:p w:rsidR="002B4068" w:rsidRPr="00017EBE" w:rsidRDefault="002B4068" w:rsidP="008B5064">
            <w:pPr>
              <w:spacing w:after="0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реализованных </w:t>
            </w: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туров за 2008 год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человек 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реализованных</w:t>
            </w: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туров за 2009 год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человек 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Стоимость тура</w:t>
            </w:r>
            <w:r w:rsidRPr="00017EBE">
              <w:rPr>
                <w:rStyle w:val="a5"/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footnoteReference w:id="1"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у.е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</w:tcPr>
          <w:p w:rsidR="002B4068" w:rsidRDefault="002B4068" w:rsidP="008B5064">
            <w:pPr>
              <w:spacing w:after="0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B4068" w:rsidRPr="00017EBE" w:rsidRDefault="002B4068" w:rsidP="008B5064">
            <w:pPr>
              <w:spacing w:after="0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Оборот за 2009 год</w:t>
            </w:r>
            <w:r w:rsidRPr="00017EBE">
              <w:rPr>
                <w:rStyle w:val="a5"/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footnoteReference w:id="2"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у.е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2B4068" w:rsidRPr="00017EBE" w:rsidTr="008B5064">
        <w:trPr>
          <w:trHeight w:val="5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4068" w:rsidRPr="00017EBE" w:rsidRDefault="002B4068" w:rsidP="008B5064">
            <w:pPr>
              <w:spacing w:after="0"/>
              <w:ind w:firstLine="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Направления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ОАЭ</w:t>
            </w:r>
          </w:p>
        </w:tc>
        <w:tc>
          <w:tcPr>
            <w:tcW w:w="1842" w:type="dxa"/>
          </w:tcPr>
          <w:p w:rsidR="002B4068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6000 </w:t>
            </w:r>
            <w:proofErr w:type="spellStart"/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у.е</w:t>
            </w:r>
            <w:proofErr w:type="spellEnd"/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</w:tcPr>
          <w:p w:rsidR="002B4068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117,6</w:t>
            </w:r>
          </w:p>
        </w:tc>
      </w:tr>
      <w:tr w:rsidR="002B4068" w:rsidRPr="00017EBE" w:rsidTr="008B5064">
        <w:trPr>
          <w:trHeight w:val="287"/>
        </w:trPr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4068" w:rsidRPr="00017EBE" w:rsidRDefault="002B4068" w:rsidP="008B5064">
            <w:pPr>
              <w:spacing w:after="0"/>
              <w:ind w:firstLine="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Болгария</w:t>
            </w:r>
          </w:p>
        </w:tc>
        <w:tc>
          <w:tcPr>
            <w:tcW w:w="1842" w:type="dxa"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1600 </w:t>
            </w:r>
            <w:proofErr w:type="spellStart"/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у.е</w:t>
            </w:r>
            <w:proofErr w:type="spellEnd"/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</w:tr>
      <w:tr w:rsidR="002B4068" w:rsidRPr="00017EBE" w:rsidTr="008B5064">
        <w:trPr>
          <w:trHeight w:val="287"/>
        </w:trPr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4068" w:rsidRPr="00017EBE" w:rsidRDefault="002B4068" w:rsidP="008B5064">
            <w:pPr>
              <w:spacing w:after="0"/>
              <w:ind w:firstLine="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Турция</w:t>
            </w:r>
          </w:p>
        </w:tc>
        <w:tc>
          <w:tcPr>
            <w:tcW w:w="1842" w:type="dxa"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7861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6211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1700 </w:t>
            </w:r>
            <w:proofErr w:type="spellStart"/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у.е</w:t>
            </w:r>
            <w:proofErr w:type="spellEnd"/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1055,87</w:t>
            </w:r>
          </w:p>
        </w:tc>
      </w:tr>
      <w:tr w:rsidR="002B4068" w:rsidRPr="00017EBE" w:rsidTr="008B5064">
        <w:trPr>
          <w:trHeight w:val="287"/>
        </w:trPr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4068" w:rsidRPr="00017EBE" w:rsidRDefault="002B4068" w:rsidP="008B5064">
            <w:pPr>
              <w:spacing w:after="0"/>
              <w:ind w:firstLine="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Египет</w:t>
            </w:r>
          </w:p>
        </w:tc>
        <w:tc>
          <w:tcPr>
            <w:tcW w:w="1842" w:type="dxa"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2699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1900 </w:t>
            </w:r>
            <w:proofErr w:type="spellStart"/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у.е</w:t>
            </w:r>
            <w:proofErr w:type="spellEnd"/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711,55</w:t>
            </w:r>
          </w:p>
        </w:tc>
      </w:tr>
      <w:tr w:rsidR="002B4068" w:rsidRPr="00017EBE" w:rsidTr="008B5064">
        <w:trPr>
          <w:trHeight w:val="287"/>
        </w:trPr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4068" w:rsidRPr="00017EBE" w:rsidRDefault="002B4068" w:rsidP="008B5064">
            <w:pPr>
              <w:spacing w:after="0"/>
              <w:ind w:firstLine="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Испания</w:t>
            </w:r>
          </w:p>
        </w:tc>
        <w:tc>
          <w:tcPr>
            <w:tcW w:w="1842" w:type="dxa"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3700 </w:t>
            </w:r>
            <w:proofErr w:type="spellStart"/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у.е</w:t>
            </w:r>
            <w:proofErr w:type="spellEnd"/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51,43</w:t>
            </w:r>
          </w:p>
        </w:tc>
      </w:tr>
      <w:tr w:rsidR="002B4068" w:rsidRPr="00017EBE" w:rsidTr="008B5064">
        <w:trPr>
          <w:trHeight w:val="287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068" w:rsidRPr="00017EBE" w:rsidRDefault="002B4068" w:rsidP="008B5064">
            <w:pPr>
              <w:spacing w:after="0"/>
              <w:ind w:firstLine="65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66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11402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10951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2B4068" w:rsidRPr="00017EBE" w:rsidRDefault="002B4068" w:rsidP="008B5064">
            <w:pPr>
              <w:spacing w:after="0"/>
              <w:ind w:firstLine="34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2042,05</w:t>
            </w:r>
          </w:p>
        </w:tc>
      </w:tr>
    </w:tbl>
    <w:p w:rsidR="002B4068" w:rsidRDefault="002B4068" w:rsidP="002B4068">
      <w:pPr>
        <w:spacing w:after="0"/>
        <w:ind w:firstLine="567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val="en-US"/>
        </w:rPr>
      </w:pPr>
    </w:p>
    <w:p w:rsidR="002B4068" w:rsidRDefault="002B4068" w:rsidP="002B4068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Источник: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составлена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автором по </w:t>
      </w:r>
      <w:r w:rsidRPr="00A95C56">
        <w:rPr>
          <w:rFonts w:ascii="Times New Roman" w:hAnsi="Times New Roman" w:cs="Times New Roman"/>
          <w:color w:val="000000"/>
          <w:sz w:val="24"/>
          <w:szCs w:val="24"/>
        </w:rPr>
        <w:t>[5</w:t>
      </w:r>
      <w:r>
        <w:rPr>
          <w:rFonts w:ascii="Times New Roman" w:hAnsi="Times New Roman" w:cs="Times New Roman"/>
          <w:color w:val="000000"/>
          <w:sz w:val="24"/>
          <w:szCs w:val="24"/>
        </w:rPr>
        <w:t>, с.38</w:t>
      </w:r>
      <w:r w:rsidRPr="00A95C56">
        <w:rPr>
          <w:rFonts w:ascii="Times New Roman" w:hAnsi="Times New Roman" w:cs="Times New Roman"/>
          <w:color w:val="000000"/>
          <w:sz w:val="24"/>
          <w:szCs w:val="24"/>
        </w:rPr>
        <w:t>]</w:t>
      </w:r>
    </w:p>
    <w:p w:rsidR="002B4068" w:rsidRPr="00A95C56" w:rsidRDefault="002B4068" w:rsidP="002B4068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B4068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t>Для данного анализа более целесообразно будет использовать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несколько критериев оценки: оборот товара за 2009 год и число продаж за этот период. Оборот товара представляет собой общую стоимость всех продуктов, реализованных за 2009 год. Число продаж показывает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>, сколько человек приобрело тот или иной продукт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также за 2009 год. </w:t>
      </w:r>
    </w:p>
    <w:p w:rsidR="002B4068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t>На следующем этапе анализа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была  рассчитана доля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 каждого из параметров выбранных объектов. Затем </w:t>
      </w:r>
      <w:r>
        <w:rPr>
          <w:rFonts w:ascii="Times New Roman" w:hAnsi="Times New Roman" w:cs="Times New Roman"/>
          <w:color w:val="000000"/>
          <w:sz w:val="24"/>
          <w:szCs w:val="24"/>
        </w:rPr>
        <w:t>вычислена  доля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 с накопительным итогом.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Все расчеты систематизированы в таблицу. Согласно данным </w:t>
      </w:r>
      <w:r w:rsidRPr="00A95C56">
        <w:rPr>
          <w:rFonts w:ascii="Times New Roman" w:hAnsi="Times New Roman" w:cs="Times New Roman"/>
          <w:color w:val="000000"/>
          <w:sz w:val="24"/>
          <w:szCs w:val="24"/>
        </w:rPr>
        <w:t>таблицы 2.4,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можно распределить товары по группам и присвоить им определенные значения группе выбранных объектов.  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B4068" w:rsidRPr="00017EBE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t>К группе</w:t>
      </w:r>
      <w:proofErr w:type="gramStart"/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 А</w:t>
      </w:r>
      <w:proofErr w:type="gramEnd"/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 относятся товары с суммой доли с накопительным итогом от 0 до 50% от общей суммы параметров. Продукция этой группы требует тщательного планирования, и постоянного очень скрупулезного учета и контроля. Это связано с тем, что они 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составляют 50% оборота и прибыли компании. Товары этой группы являются самыми дорогостоящими, поэтому ошибки в их анализе обходятся дороже всего. </w:t>
      </w:r>
    </w:p>
    <w:p w:rsidR="002B4068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Затем следует группа В. Она включает в себя те объекты, сумма </w:t>
      </w:r>
      <w:proofErr w:type="gramStart"/>
      <w:r w:rsidRPr="00017EBE">
        <w:rPr>
          <w:rFonts w:ascii="Times New Roman" w:hAnsi="Times New Roman" w:cs="Times New Roman"/>
          <w:color w:val="000000"/>
          <w:sz w:val="24"/>
          <w:szCs w:val="24"/>
        </w:rPr>
        <w:t>долей</w:t>
      </w:r>
      <w:proofErr w:type="gramEnd"/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 с накопительным итогом которых находится в промежутке от 50% до 80%. Эти продукты характеризуются относительной стабильностью прибыли и спроса на них. </w:t>
      </w:r>
      <w:proofErr w:type="gramStart"/>
      <w:r w:rsidRPr="00017EBE">
        <w:rPr>
          <w:rFonts w:ascii="Times New Roman" w:hAnsi="Times New Roman" w:cs="Times New Roman"/>
          <w:color w:val="000000"/>
          <w:sz w:val="24"/>
          <w:szCs w:val="24"/>
        </w:rPr>
        <w:t>Они также нуждаются в контроле и налаженном учете, но не столь частом, как продукты группы С. Меры, которые применяются для контроля этих продуктов, аналогичны методам для группы С, но могут проводиться реже и с большими приемлемыми допусками.</w:t>
      </w:r>
      <w:r w:rsidRPr="008435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End"/>
    </w:p>
    <w:p w:rsidR="002B4068" w:rsidRPr="00017EBE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t>Группу</w:t>
      </w:r>
      <w:proofErr w:type="gramStart"/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proofErr w:type="gramEnd"/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 составляют остальные товары, сумма долей с накопительным итогом которых составляет от 80 до 100% от общей суммы. Эти методы не требуют постоянного контроля и отличаются упрощенными методами планирования и учета. Обычно эти товары теоретически являются малоценными, но, несмотря на это, обычно они составляют 20% оборота и требуют периодического контроля.</w:t>
      </w:r>
      <w:r w:rsidRPr="008435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B4068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B4068" w:rsidRPr="0066214F" w:rsidRDefault="002B4068" w:rsidP="002B4068">
      <w:pPr>
        <w:spacing w:after="0" w:line="360" w:lineRule="auto"/>
        <w:ind w:firstLine="56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6214F">
        <w:rPr>
          <w:rFonts w:ascii="Times New Roman" w:hAnsi="Times New Roman" w:cs="Times New Roman"/>
          <w:color w:val="000000"/>
          <w:sz w:val="24"/>
          <w:szCs w:val="24"/>
        </w:rPr>
        <w:t>Таблица 2.4</w:t>
      </w:r>
    </w:p>
    <w:p w:rsidR="002B4068" w:rsidRDefault="002B4068" w:rsidP="002B4068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04B7">
        <w:rPr>
          <w:rFonts w:ascii="Times New Roman" w:hAnsi="Times New Roman" w:cs="Times New Roman"/>
          <w:color w:val="000000"/>
          <w:sz w:val="24"/>
          <w:szCs w:val="24"/>
        </w:rPr>
        <w:t xml:space="preserve">Таблица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АВС-анализа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продукции компании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Алатан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тур»</w:t>
      </w:r>
    </w:p>
    <w:p w:rsidR="002B4068" w:rsidRPr="00017EBE" w:rsidRDefault="002B4068" w:rsidP="002B4068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pPr w:leftFromText="180" w:rightFromText="180" w:vertAnchor="text" w:horzAnchor="page" w:tblpX="604" w:tblpY="21"/>
        <w:tblW w:w="10894" w:type="dxa"/>
        <w:tblLayout w:type="fixed"/>
        <w:tblLook w:val="04A0"/>
      </w:tblPr>
      <w:tblGrid>
        <w:gridCol w:w="1242"/>
        <w:gridCol w:w="1276"/>
        <w:gridCol w:w="992"/>
        <w:gridCol w:w="1276"/>
        <w:gridCol w:w="1055"/>
        <w:gridCol w:w="1071"/>
        <w:gridCol w:w="993"/>
        <w:gridCol w:w="1199"/>
        <w:gridCol w:w="842"/>
        <w:gridCol w:w="948"/>
      </w:tblGrid>
      <w:tr w:rsidR="002B4068" w:rsidRPr="00017EBE" w:rsidTr="008B5064">
        <w:trPr>
          <w:trHeight w:val="1471"/>
        </w:trPr>
        <w:tc>
          <w:tcPr>
            <w:tcW w:w="12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Товарные категории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Число продаж</w:t>
            </w:r>
            <w:r w:rsidRPr="00017EBE">
              <w:rPr>
                <w:rStyle w:val="a5"/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footnoteRef/>
            </w: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, 2009 год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Доля в числе продаж, %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Доля в числе продаж с накопительным итогом, %</w:t>
            </w:r>
          </w:p>
        </w:tc>
        <w:tc>
          <w:tcPr>
            <w:tcW w:w="10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Товарные категории</w:t>
            </w:r>
          </w:p>
        </w:tc>
        <w:tc>
          <w:tcPr>
            <w:tcW w:w="107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Оборот за 2009г., </w:t>
            </w:r>
            <w:proofErr w:type="spellStart"/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у.е</w:t>
            </w:r>
            <w:proofErr w:type="spellEnd"/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017EBE">
              <w:rPr>
                <w:rStyle w:val="a5"/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footnoteRef/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15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Доля в обороте, %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3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Доля в обороте с накопительным итогом, %</w:t>
            </w:r>
          </w:p>
        </w:tc>
        <w:tc>
          <w:tcPr>
            <w:tcW w:w="8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Группа по обороту</w:t>
            </w:r>
          </w:p>
        </w:tc>
        <w:tc>
          <w:tcPr>
            <w:tcW w:w="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Группа по прибыли</w:t>
            </w:r>
          </w:p>
        </w:tc>
      </w:tr>
      <w:tr w:rsidR="002B4068" w:rsidRPr="00017EBE" w:rsidTr="008B5064">
        <w:trPr>
          <w:trHeight w:val="325"/>
        </w:trPr>
        <w:tc>
          <w:tcPr>
            <w:tcW w:w="1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800080" w:fill="FFFF99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Турция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6211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56,7163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56,7163</w:t>
            </w:r>
          </w:p>
        </w:tc>
        <w:tc>
          <w:tcPr>
            <w:tcW w:w="10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Турция</w:t>
            </w:r>
          </w:p>
        </w:tc>
        <w:tc>
          <w:tcPr>
            <w:tcW w:w="107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1055,87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1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51,7064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51,7064</w:t>
            </w:r>
          </w:p>
        </w:tc>
        <w:tc>
          <w:tcPr>
            <w:tcW w:w="8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9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2B4068" w:rsidRPr="00017EBE" w:rsidTr="008B5064">
        <w:trPr>
          <w:trHeight w:val="325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800080" w:fill="FFFF99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Египет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34,1978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90,9141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Египет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1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34,8449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86,5513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</w:t>
            </w:r>
          </w:p>
        </w:tc>
      </w:tr>
      <w:tr w:rsidR="002B4068" w:rsidRPr="00017EBE" w:rsidTr="008B5064">
        <w:trPr>
          <w:trHeight w:val="325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800080" w:fill="FFFF99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Болгария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6,0268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96,9409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ОАЭ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1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5,8448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92,3961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</w:t>
            </w:r>
          </w:p>
        </w:tc>
      </w:tr>
      <w:tr w:rsidR="002B4068" w:rsidRPr="00017EBE" w:rsidTr="008B5064">
        <w:trPr>
          <w:trHeight w:val="325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800080" w:fill="FFFF99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ОАЭ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1,7898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98,7307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Болгария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1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5,1713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97,5674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</w:t>
            </w:r>
          </w:p>
        </w:tc>
      </w:tr>
      <w:tr w:rsidR="002B4068" w:rsidRPr="00017EBE" w:rsidTr="008B5064">
        <w:trPr>
          <w:trHeight w:val="325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800080" w:fill="FFFF99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Испания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1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2,5185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C</w:t>
            </w:r>
          </w:p>
        </w:tc>
      </w:tr>
      <w:tr w:rsidR="002B4068" w:rsidRPr="00017EBE" w:rsidTr="008B5064">
        <w:trPr>
          <w:trHeight w:val="325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10951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2B4068" w:rsidRPr="00017EBE" w:rsidRDefault="002B4068" w:rsidP="008B506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2042,05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1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7E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ind w:firstLine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B4068" w:rsidRPr="00017EBE" w:rsidRDefault="002B4068" w:rsidP="008B5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B4068" w:rsidRDefault="002B4068" w:rsidP="002B4068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B4068" w:rsidRPr="00980447" w:rsidRDefault="002B4068" w:rsidP="002B4068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Источник: составлено автором по </w:t>
      </w:r>
      <w:r w:rsidRPr="00980447">
        <w:rPr>
          <w:rFonts w:ascii="Times New Roman" w:hAnsi="Times New Roman" w:cs="Times New Roman"/>
          <w:color w:val="000000"/>
          <w:sz w:val="24"/>
          <w:szCs w:val="24"/>
        </w:rPr>
        <w:t xml:space="preserve">[5,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c</w:t>
      </w:r>
      <w:r w:rsidRPr="00980447">
        <w:rPr>
          <w:rFonts w:ascii="Times New Roman" w:hAnsi="Times New Roman" w:cs="Times New Roman"/>
          <w:color w:val="000000"/>
          <w:sz w:val="24"/>
          <w:szCs w:val="24"/>
        </w:rPr>
        <w:t>.3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980447">
        <w:rPr>
          <w:rFonts w:ascii="Times New Roman" w:hAnsi="Times New Roman" w:cs="Times New Roman"/>
          <w:color w:val="000000"/>
          <w:sz w:val="24"/>
          <w:szCs w:val="24"/>
        </w:rPr>
        <w:t>]</w:t>
      </w:r>
    </w:p>
    <w:p w:rsidR="002B4068" w:rsidRDefault="002B4068" w:rsidP="002B4068">
      <w:pPr>
        <w:spacing w:after="0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B4068" w:rsidRPr="006504B7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основе всех вычислений, представленных в таблице </w:t>
      </w:r>
      <w:r w:rsidRPr="00980447">
        <w:rPr>
          <w:rFonts w:ascii="Times New Roman" w:hAnsi="Times New Roman" w:cs="Times New Roman"/>
          <w:color w:val="000000"/>
          <w:sz w:val="24"/>
          <w:szCs w:val="24"/>
        </w:rPr>
        <w:t xml:space="preserve">2.4 </w:t>
      </w:r>
      <w:r>
        <w:rPr>
          <w:rFonts w:ascii="Times New Roman" w:hAnsi="Times New Roman" w:cs="Times New Roman"/>
          <w:color w:val="000000"/>
          <w:sz w:val="24"/>
          <w:szCs w:val="24"/>
        </w:rPr>
        <w:t>можно построить диаграмму</w:t>
      </w:r>
      <w:r w:rsidRPr="00980447">
        <w:rPr>
          <w:rFonts w:ascii="Times New Roman" w:hAnsi="Times New Roman" w:cs="Times New Roman"/>
          <w:color w:val="000000"/>
          <w:sz w:val="24"/>
          <w:szCs w:val="24"/>
        </w:rPr>
        <w:t xml:space="preserve"> 2.1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С помощью нее мы сможет наглядно отобразить разницу долей в обороте и в числе продаж в зависимости от рассматриваемого направления. Таким образом, можно отметить, что чем ниже у продукта доли с накопительным в прибыли, либо обороте, тем более ценной является для предприятия данная группа. </w:t>
      </w:r>
    </w:p>
    <w:p w:rsidR="002B4068" w:rsidRDefault="002B4068" w:rsidP="002B4068">
      <w:pPr>
        <w:spacing w:after="0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2B4068" w:rsidRPr="00017EBE" w:rsidRDefault="002B4068" w:rsidP="002B406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t>Таким образом, направления распределились по группам следующим образом:</w:t>
      </w:r>
    </w:p>
    <w:p w:rsidR="002B4068" w:rsidRPr="00017EBE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Турция –  </w:t>
      </w:r>
      <w:proofErr w:type="gramStart"/>
      <w:r w:rsidRPr="00017EBE">
        <w:rPr>
          <w:rFonts w:ascii="Times New Roman" w:hAnsi="Times New Roman" w:cs="Times New Roman"/>
          <w:color w:val="000000"/>
          <w:sz w:val="24"/>
          <w:szCs w:val="24"/>
        </w:rPr>
        <w:t>ВВ</w:t>
      </w:r>
      <w:proofErr w:type="gramEnd"/>
    </w:p>
    <w:p w:rsidR="002B4068" w:rsidRPr="00017EBE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Египет – СС </w:t>
      </w:r>
    </w:p>
    <w:p w:rsidR="002B4068" w:rsidRPr="00017EBE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t>Болгария – СС</w:t>
      </w:r>
    </w:p>
    <w:p w:rsidR="002B4068" w:rsidRPr="00017EBE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t>ОАЭ – СС</w:t>
      </w:r>
    </w:p>
    <w:p w:rsidR="002B4068" w:rsidRPr="00017EBE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t>Испания – СС</w:t>
      </w:r>
    </w:p>
    <w:p w:rsidR="002B4068" w:rsidRPr="00017EBE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Большинство продукции относится к группе СС. </w:t>
      </w:r>
      <w:proofErr w:type="gramStart"/>
      <w:r w:rsidRPr="006504B7">
        <w:rPr>
          <w:rFonts w:ascii="Times New Roman" w:hAnsi="Times New Roman" w:cs="Times New Roman"/>
          <w:color w:val="000000"/>
          <w:sz w:val="24"/>
          <w:szCs w:val="24"/>
        </w:rPr>
        <w:t>Продукция, относящаяся к этой категории в большинстве случаев является</w:t>
      </w:r>
      <w:proofErr w:type="gramEnd"/>
      <w:r w:rsidRPr="006504B7">
        <w:rPr>
          <w:rFonts w:ascii="Times New Roman" w:hAnsi="Times New Roman" w:cs="Times New Roman"/>
          <w:color w:val="000000"/>
          <w:sz w:val="24"/>
          <w:szCs w:val="24"/>
        </w:rPr>
        <w:t xml:space="preserve"> наименее ценной для работы организации. 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>По прибыли и обороту они занимают последние позиции. Однако</w:t>
      </w:r>
      <w:proofErr w:type="gramStart"/>
      <w:r w:rsidRPr="00017EBE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 не стоит сразу принимать решения об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их ликвидации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>. Представленные в анализе направление (ОАЭ, Болгария, Турция, Египет и Испания) являются лидерами продаж и основными источниками получения прибыли. Стоит сказать, что такие показатели заключены часто не в том, что эти продукты непопулярны и малоприбыльны, а в каких-то других причинах, возможно неправильной реализации или продвижения туристического продукта.</w:t>
      </w:r>
    </w:p>
    <w:p w:rsidR="002B4068" w:rsidRPr="00017EBE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К группе СС относятся такие направления, как Болгария, ОАЭ и Испания. Принадлежность их к этой группе обусловлена, скорее всего, тем, что предложения эти не отличаются от аналогичных продуктов других групп. Это связано с тем, что практически все турфирмы продают туры, созданные одним оператором, или практически идентичные по своему содержанию и условиям. Поэтому сделать продукт особенным и выделяющимся из ряда других поможет интенсивная маркетинговая коммуникационная стратегия, которая, по выводам </w:t>
      </w:r>
      <w:r w:rsidRPr="00017EBE">
        <w:rPr>
          <w:rFonts w:ascii="Times New Roman" w:hAnsi="Times New Roman" w:cs="Times New Roman"/>
          <w:color w:val="000000"/>
          <w:sz w:val="24"/>
          <w:szCs w:val="24"/>
          <w:lang w:val="de-DE"/>
        </w:rPr>
        <w:t>SWOT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-анализа, недостаточно развита на этом предприятии. То есть, принадлежность направлений к группе СС обуславливается не правильным продвижением и реализацией продукции. </w:t>
      </w:r>
    </w:p>
    <w:p w:rsidR="002B4068" w:rsidRPr="00017EBE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Второй группой является комбинация ВВ. К ней отнесено одно направление – Турция. К этой группе относятся самые стабильные продукты. Они приносят постоянную прибыль, и пользуются регулярным спросом. Эти товары стоит оставить в такой же ситуации, в которой они реализовываются сейчас. Продукция этой группы не требует особенного внимания и ей можно заниматься в последнюю очередь. </w:t>
      </w:r>
    </w:p>
    <w:p w:rsidR="002B4068" w:rsidRPr="00017EBE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Из приведенных в анализе направлений Турция является наиболее популярной среди потребителей и наиболее прибыльной для самой компании. </w:t>
      </w:r>
      <w:proofErr w:type="gramStart"/>
      <w:r w:rsidRPr="00017EBE">
        <w:rPr>
          <w:rFonts w:ascii="Times New Roman" w:hAnsi="Times New Roman" w:cs="Times New Roman"/>
          <w:color w:val="000000"/>
          <w:sz w:val="24"/>
          <w:szCs w:val="24"/>
        </w:rPr>
        <w:t>При чем</w:t>
      </w:r>
      <w:proofErr w:type="gramEnd"/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 тенденция популярности этого направления длится не один год (более подробная информация будет представлена в матрице БКГ). Прибыльность этого направления обуславливается средней ценой и высоким объемом продаж туров. В Турции совмещены невысокая цена и достаточно высокий уровень организации отдыха. </w:t>
      </w:r>
    </w:p>
    <w:p w:rsidR="000B1AA3" w:rsidRPr="000B1AA3" w:rsidRDefault="002B4068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7EBE">
        <w:rPr>
          <w:rFonts w:ascii="Times New Roman" w:hAnsi="Times New Roman" w:cs="Times New Roman"/>
          <w:color w:val="000000"/>
          <w:sz w:val="24"/>
          <w:szCs w:val="24"/>
        </w:rPr>
        <w:t xml:space="preserve">Для улучшения продаж по остальным направлениям, а также для повышения получаемой от их прибыли, компании стоит больше внимания коммуникационной стратегии. Уделять больше внимания нетипичной и оригинальной рекламе для продукции. Также эффективно будет использовать стимулирование сбыта и различные способы </w:t>
      </w:r>
      <w:r w:rsidRPr="00017EBE">
        <w:rPr>
          <w:rFonts w:ascii="Times New Roman" w:hAnsi="Times New Roman" w:cs="Times New Roman"/>
          <w:color w:val="000000"/>
          <w:sz w:val="24"/>
          <w:szCs w:val="24"/>
          <w:lang w:val="en-US"/>
        </w:rPr>
        <w:t>PR</w:t>
      </w:r>
      <w:r w:rsidRPr="00017EB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B1AA3" w:rsidRPr="000B1AA3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0B1AA3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Матрица</w:t>
      </w:r>
      <w:proofErr w:type="spellEnd"/>
      <w:r w:rsidRPr="000B1AA3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БКГ</w:t>
      </w:r>
    </w:p>
    <w:p w:rsidR="000B1AA3" w:rsidRPr="00223A04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04">
        <w:rPr>
          <w:rFonts w:ascii="Times New Roman" w:hAnsi="Times New Roman" w:cs="Times New Roman"/>
          <w:color w:val="000000"/>
          <w:sz w:val="24"/>
          <w:szCs w:val="24"/>
        </w:rPr>
        <w:t>Построение адаптированной матрицы БКГ строится по нескольким основным принципам. Для этого исследования мы будем использовать две группы данных. По ос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23A04">
        <w:rPr>
          <w:rFonts w:ascii="Times New Roman" w:hAnsi="Times New Roman" w:cs="Times New Roman"/>
          <w:color w:val="000000"/>
          <w:sz w:val="24"/>
          <w:szCs w:val="24"/>
        </w:rPr>
        <w:t xml:space="preserve"> Х будет располагаться доля в объеме продаж компании (рассчитывается как отношение объема продаж продукта к объему продаж всей компании за соответствующий период (в случае с анализом продукции «</w:t>
      </w:r>
      <w:proofErr w:type="spellStart"/>
      <w:r w:rsidRPr="00223A04">
        <w:rPr>
          <w:rFonts w:ascii="Times New Roman" w:hAnsi="Times New Roman" w:cs="Times New Roman"/>
          <w:color w:val="000000"/>
          <w:sz w:val="24"/>
          <w:szCs w:val="24"/>
        </w:rPr>
        <w:t>Алатан</w:t>
      </w:r>
      <w:proofErr w:type="spellEnd"/>
      <w:r w:rsidRPr="00223A04">
        <w:rPr>
          <w:rFonts w:ascii="Times New Roman" w:hAnsi="Times New Roman" w:cs="Times New Roman"/>
          <w:color w:val="000000"/>
          <w:sz w:val="24"/>
          <w:szCs w:val="24"/>
        </w:rPr>
        <w:t xml:space="preserve"> тур» за 2008 год)). По оси Y – темпы роста продаж продукта по отношению к предыдущему периоду (отношение объема продаж данного продукта за текущий период (2009 год) к объему продаж этого же продукта за предыдущий период). </w:t>
      </w:r>
    </w:p>
    <w:p w:rsidR="000B1AA3" w:rsidRPr="00223A04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04">
        <w:rPr>
          <w:rFonts w:ascii="Times New Roman" w:hAnsi="Times New Roman" w:cs="Times New Roman"/>
          <w:color w:val="000000"/>
          <w:sz w:val="24"/>
          <w:szCs w:val="24"/>
        </w:rPr>
        <w:t xml:space="preserve">После нанесения всех необходимых данных в диаграмму, </w:t>
      </w:r>
      <w:r w:rsidRPr="00A77D44">
        <w:rPr>
          <w:rFonts w:ascii="Times New Roman" w:hAnsi="Times New Roman" w:cs="Times New Roman"/>
          <w:color w:val="000000"/>
          <w:sz w:val="24"/>
          <w:szCs w:val="24"/>
        </w:rPr>
        <w:t>путем экспертной</w:t>
      </w:r>
      <w:r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определяется точка</w:t>
      </w:r>
      <w:r w:rsidRPr="00223A04">
        <w:rPr>
          <w:rFonts w:ascii="Times New Roman" w:hAnsi="Times New Roman" w:cs="Times New Roman"/>
          <w:color w:val="000000"/>
          <w:sz w:val="24"/>
          <w:szCs w:val="24"/>
        </w:rPr>
        <w:t xml:space="preserve"> раздела товаров, которая будет определять средний темп роста продукции. </w:t>
      </w: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04">
        <w:rPr>
          <w:rFonts w:ascii="Times New Roman" w:hAnsi="Times New Roman" w:cs="Times New Roman"/>
          <w:color w:val="000000"/>
          <w:sz w:val="24"/>
          <w:szCs w:val="24"/>
        </w:rPr>
        <w:t xml:space="preserve">Каждый товар будет представлять собой </w:t>
      </w:r>
      <w:r>
        <w:rPr>
          <w:rFonts w:ascii="Times New Roman" w:hAnsi="Times New Roman" w:cs="Times New Roman"/>
          <w:color w:val="000000"/>
          <w:sz w:val="24"/>
          <w:szCs w:val="24"/>
        </w:rPr>
        <w:t>окружность определенного размера</w:t>
      </w:r>
      <w:r w:rsidRPr="00223A0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Диаметр окружности строится с учетом </w:t>
      </w:r>
      <w:r w:rsidRPr="00223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77D44">
        <w:rPr>
          <w:rFonts w:ascii="Times New Roman" w:hAnsi="Times New Roman" w:cs="Times New Roman"/>
          <w:color w:val="000000"/>
          <w:sz w:val="24"/>
          <w:szCs w:val="24"/>
        </w:rPr>
        <w:t>дол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A77D44">
        <w:rPr>
          <w:rFonts w:ascii="Times New Roman" w:hAnsi="Times New Roman" w:cs="Times New Roman"/>
          <w:color w:val="000000"/>
          <w:sz w:val="24"/>
          <w:szCs w:val="24"/>
        </w:rPr>
        <w:t xml:space="preserve"> продукта в объемах продаж компании</w:t>
      </w:r>
      <w:proofErr w:type="gramStart"/>
      <w:r w:rsidRPr="00A77D44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с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ледовательно, тем продуктам, которые являются более рентабельными соответствует окружность с большим диаметром. </w:t>
      </w: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04">
        <w:rPr>
          <w:rFonts w:ascii="Times New Roman" w:hAnsi="Times New Roman" w:cs="Times New Roman"/>
          <w:color w:val="000000"/>
          <w:sz w:val="24"/>
          <w:szCs w:val="24"/>
        </w:rPr>
        <w:t>Для построения диаграммы матрицы БКГ сначала создадим таблицу</w:t>
      </w:r>
      <w:r w:rsidRPr="00980447">
        <w:rPr>
          <w:rFonts w:ascii="Times New Roman" w:hAnsi="Times New Roman" w:cs="Times New Roman"/>
          <w:color w:val="000000"/>
          <w:sz w:val="24"/>
          <w:szCs w:val="24"/>
        </w:rPr>
        <w:t xml:space="preserve"> 2.5</w:t>
      </w:r>
      <w:r w:rsidRPr="00223A04">
        <w:rPr>
          <w:rFonts w:ascii="Times New Roman" w:hAnsi="Times New Roman" w:cs="Times New Roman"/>
          <w:color w:val="000000"/>
          <w:sz w:val="24"/>
          <w:szCs w:val="24"/>
        </w:rPr>
        <w:t xml:space="preserve">, в которой будут отражены все необходимые для анализа данные за 2008 и 2009 года. Стоит еще раз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отметить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23A04">
        <w:rPr>
          <w:rFonts w:ascii="Times New Roman" w:hAnsi="Times New Roman" w:cs="Times New Roman"/>
          <w:color w:val="000000"/>
          <w:sz w:val="24"/>
          <w:szCs w:val="24"/>
        </w:rPr>
        <w:t>что объектами анализа являются продукты по основным направлениям «</w:t>
      </w:r>
      <w:proofErr w:type="spellStart"/>
      <w:r w:rsidRPr="00223A04">
        <w:rPr>
          <w:rFonts w:ascii="Times New Roman" w:hAnsi="Times New Roman" w:cs="Times New Roman"/>
          <w:color w:val="000000"/>
          <w:sz w:val="24"/>
          <w:szCs w:val="24"/>
        </w:rPr>
        <w:t>Алатан</w:t>
      </w:r>
      <w:proofErr w:type="spellEnd"/>
      <w:r w:rsidRPr="00223A04">
        <w:rPr>
          <w:rFonts w:ascii="Times New Roman" w:hAnsi="Times New Roman" w:cs="Times New Roman"/>
          <w:color w:val="000000"/>
          <w:sz w:val="24"/>
          <w:szCs w:val="24"/>
        </w:rPr>
        <w:t xml:space="preserve"> тур», такие как ОАЭ, Турция, Египет, Испания и Болгария.</w:t>
      </w: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B1AA3" w:rsidRPr="004B7FA2" w:rsidRDefault="000B1AA3" w:rsidP="000B1AA3">
      <w:pPr>
        <w:tabs>
          <w:tab w:val="left" w:pos="567"/>
        </w:tabs>
        <w:spacing w:after="0" w:line="360" w:lineRule="auto"/>
        <w:ind w:firstLine="56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Таблица 2.5</w:t>
      </w: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B7FA2">
        <w:rPr>
          <w:rFonts w:ascii="Times New Roman" w:hAnsi="Times New Roman" w:cs="Times New Roman"/>
          <w:color w:val="000000"/>
          <w:sz w:val="24"/>
          <w:szCs w:val="24"/>
        </w:rPr>
        <w:t xml:space="preserve"> Характеристика анализ</w:t>
      </w:r>
      <w:r>
        <w:rPr>
          <w:rFonts w:ascii="Times New Roman" w:hAnsi="Times New Roman" w:cs="Times New Roman"/>
          <w:color w:val="000000"/>
          <w:sz w:val="24"/>
          <w:szCs w:val="24"/>
        </w:rPr>
        <w:t>ируемых направлений продукции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4B7FA2">
        <w:rPr>
          <w:rFonts w:ascii="Times New Roman" w:hAnsi="Times New Roman" w:cs="Times New Roman"/>
          <w:color w:val="000000"/>
          <w:sz w:val="24"/>
          <w:szCs w:val="24"/>
        </w:rPr>
        <w:t>латан</w:t>
      </w:r>
      <w:proofErr w:type="spellEnd"/>
      <w:r w:rsidRPr="004B7FA2">
        <w:rPr>
          <w:rFonts w:ascii="Times New Roman" w:hAnsi="Times New Roman" w:cs="Times New Roman"/>
          <w:color w:val="000000"/>
          <w:sz w:val="24"/>
          <w:szCs w:val="24"/>
        </w:rPr>
        <w:t xml:space="preserve"> тур»</w:t>
      </w:r>
    </w:p>
    <w:p w:rsidR="000B1AA3" w:rsidRPr="00223A04" w:rsidRDefault="000B1AA3" w:rsidP="000B1AA3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8"/>
        <w:tblW w:w="10632" w:type="dxa"/>
        <w:tblInd w:w="-1026" w:type="dxa"/>
        <w:tblLook w:val="04A0"/>
      </w:tblPr>
      <w:tblGrid>
        <w:gridCol w:w="1701"/>
        <w:gridCol w:w="1427"/>
        <w:gridCol w:w="2117"/>
        <w:gridCol w:w="1559"/>
        <w:gridCol w:w="1985"/>
        <w:gridCol w:w="1843"/>
      </w:tblGrid>
      <w:tr w:rsidR="000B1AA3" w:rsidRPr="00223A04" w:rsidTr="002E5861">
        <w:trPr>
          <w:trHeight w:val="493"/>
        </w:trPr>
        <w:tc>
          <w:tcPr>
            <w:tcW w:w="1701" w:type="dxa"/>
            <w:shd w:val="clear" w:color="auto" w:fill="E5B8B7" w:themeFill="accent2" w:themeFillTint="66"/>
          </w:tcPr>
          <w:p w:rsidR="000B1AA3" w:rsidRPr="00223A04" w:rsidRDefault="000B1AA3" w:rsidP="002E5861">
            <w:pPr>
              <w:ind w:firstLine="175"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Область</w:t>
            </w:r>
          </w:p>
        </w:tc>
        <w:tc>
          <w:tcPr>
            <w:tcW w:w="1427" w:type="dxa"/>
            <w:shd w:val="clear" w:color="auto" w:fill="E5B8B7" w:themeFill="accent2" w:themeFillTint="66"/>
          </w:tcPr>
          <w:p w:rsidR="000B1AA3" w:rsidRPr="00223A04" w:rsidRDefault="000B1AA3" w:rsidP="002E5861">
            <w:pPr>
              <w:ind w:firstLine="34"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Число продаж за 2008г.</w:t>
            </w:r>
          </w:p>
        </w:tc>
        <w:tc>
          <w:tcPr>
            <w:tcW w:w="2117" w:type="dxa"/>
            <w:shd w:val="clear" w:color="auto" w:fill="E5B8B7" w:themeFill="accent2" w:themeFillTint="66"/>
          </w:tcPr>
          <w:p w:rsidR="000B1AA3" w:rsidRPr="00223A04" w:rsidRDefault="000B1AA3" w:rsidP="002E5861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Доля в числе продаж, 2008 г., %</w:t>
            </w:r>
          </w:p>
        </w:tc>
        <w:tc>
          <w:tcPr>
            <w:tcW w:w="1559" w:type="dxa"/>
            <w:shd w:val="clear" w:color="auto" w:fill="E5B8B7" w:themeFill="accent2" w:themeFillTint="66"/>
          </w:tcPr>
          <w:p w:rsidR="000B1AA3" w:rsidRPr="00223A04" w:rsidRDefault="000B1AA3" w:rsidP="002E5861">
            <w:pPr>
              <w:ind w:firstLine="52"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Число продаж за 2009 г., %</w:t>
            </w:r>
          </w:p>
        </w:tc>
        <w:tc>
          <w:tcPr>
            <w:tcW w:w="1985" w:type="dxa"/>
            <w:shd w:val="clear" w:color="auto" w:fill="E5B8B7" w:themeFill="accent2" w:themeFillTint="66"/>
          </w:tcPr>
          <w:p w:rsidR="000B1AA3" w:rsidRPr="00223A04" w:rsidRDefault="000B1AA3" w:rsidP="002E5861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Доля в числе продаж, 2009 г., %</w:t>
            </w:r>
          </w:p>
        </w:tc>
        <w:tc>
          <w:tcPr>
            <w:tcW w:w="1843" w:type="dxa"/>
            <w:shd w:val="clear" w:color="auto" w:fill="E5B8B7" w:themeFill="accent2" w:themeFillTint="66"/>
          </w:tcPr>
          <w:p w:rsidR="000B1AA3" w:rsidRPr="00223A04" w:rsidRDefault="000B1AA3" w:rsidP="002E5861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Темпы прироста, 2009 г., %</w:t>
            </w:r>
          </w:p>
        </w:tc>
      </w:tr>
      <w:tr w:rsidR="000B1AA3" w:rsidRPr="00223A04" w:rsidTr="002E5861">
        <w:trPr>
          <w:trHeight w:val="264"/>
        </w:trPr>
        <w:tc>
          <w:tcPr>
            <w:tcW w:w="1701" w:type="dxa"/>
            <w:shd w:val="clear" w:color="auto" w:fill="FBD4B4" w:themeFill="accent6" w:themeFillTint="66"/>
          </w:tcPr>
          <w:p w:rsidR="000B1AA3" w:rsidRPr="00223A04" w:rsidRDefault="000B1AA3" w:rsidP="002E5861">
            <w:pPr>
              <w:ind w:firstLine="1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Турция </w:t>
            </w:r>
          </w:p>
        </w:tc>
        <w:tc>
          <w:tcPr>
            <w:tcW w:w="1427" w:type="dxa"/>
          </w:tcPr>
          <w:p w:rsidR="000B1AA3" w:rsidRPr="00223A04" w:rsidRDefault="000B1AA3" w:rsidP="002E58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7861</w:t>
            </w:r>
          </w:p>
        </w:tc>
        <w:tc>
          <w:tcPr>
            <w:tcW w:w="2117" w:type="dxa"/>
          </w:tcPr>
          <w:p w:rsidR="000B1AA3" w:rsidRPr="00223A04" w:rsidRDefault="000B1AA3" w:rsidP="002E5861">
            <w:pPr>
              <w:ind w:firstLine="2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68,944</w:t>
            </w:r>
          </w:p>
        </w:tc>
        <w:tc>
          <w:tcPr>
            <w:tcW w:w="1559" w:type="dxa"/>
          </w:tcPr>
          <w:p w:rsidR="000B1AA3" w:rsidRPr="00223A04" w:rsidRDefault="000B1AA3" w:rsidP="002E58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6211</w:t>
            </w:r>
          </w:p>
        </w:tc>
        <w:tc>
          <w:tcPr>
            <w:tcW w:w="1985" w:type="dxa"/>
          </w:tcPr>
          <w:p w:rsidR="000B1AA3" w:rsidRPr="00223A04" w:rsidRDefault="000B1AA3" w:rsidP="002E5861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56,716</w:t>
            </w:r>
          </w:p>
        </w:tc>
        <w:tc>
          <w:tcPr>
            <w:tcW w:w="1843" w:type="dxa"/>
          </w:tcPr>
          <w:p w:rsidR="000B1AA3" w:rsidRPr="00223A04" w:rsidRDefault="000B1AA3" w:rsidP="002E5861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0,823</w:t>
            </w:r>
          </w:p>
        </w:tc>
      </w:tr>
      <w:tr w:rsidR="000B1AA3" w:rsidRPr="00223A04" w:rsidTr="002E5861">
        <w:trPr>
          <w:trHeight w:val="208"/>
        </w:trPr>
        <w:tc>
          <w:tcPr>
            <w:tcW w:w="1701" w:type="dxa"/>
            <w:shd w:val="clear" w:color="auto" w:fill="FBD4B4" w:themeFill="accent6" w:themeFillTint="66"/>
          </w:tcPr>
          <w:p w:rsidR="000B1AA3" w:rsidRPr="00223A04" w:rsidRDefault="000B1AA3" w:rsidP="002E5861">
            <w:pPr>
              <w:ind w:firstLine="1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Египет</w:t>
            </w:r>
          </w:p>
        </w:tc>
        <w:tc>
          <w:tcPr>
            <w:tcW w:w="1427" w:type="dxa"/>
          </w:tcPr>
          <w:p w:rsidR="000B1AA3" w:rsidRPr="00223A04" w:rsidRDefault="000B1AA3" w:rsidP="002E58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2699</w:t>
            </w:r>
          </w:p>
        </w:tc>
        <w:tc>
          <w:tcPr>
            <w:tcW w:w="2117" w:type="dxa"/>
          </w:tcPr>
          <w:p w:rsidR="000B1AA3" w:rsidRPr="00223A04" w:rsidRDefault="000B1AA3" w:rsidP="002E5861">
            <w:pPr>
              <w:ind w:firstLine="2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23,671</w:t>
            </w:r>
          </w:p>
        </w:tc>
        <w:tc>
          <w:tcPr>
            <w:tcW w:w="1559" w:type="dxa"/>
          </w:tcPr>
          <w:p w:rsidR="000B1AA3" w:rsidRPr="00223A04" w:rsidRDefault="000B1AA3" w:rsidP="002E58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3745</w:t>
            </w:r>
          </w:p>
        </w:tc>
        <w:tc>
          <w:tcPr>
            <w:tcW w:w="1985" w:type="dxa"/>
          </w:tcPr>
          <w:p w:rsidR="000B1AA3" w:rsidRPr="00223A04" w:rsidRDefault="000B1AA3" w:rsidP="002E5861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34,198</w:t>
            </w:r>
          </w:p>
        </w:tc>
        <w:tc>
          <w:tcPr>
            <w:tcW w:w="1843" w:type="dxa"/>
          </w:tcPr>
          <w:p w:rsidR="000B1AA3" w:rsidRPr="00223A04" w:rsidRDefault="000B1AA3" w:rsidP="002E5861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1,445</w:t>
            </w:r>
          </w:p>
        </w:tc>
      </w:tr>
      <w:tr w:rsidR="000B1AA3" w:rsidRPr="00223A04" w:rsidTr="002E5861">
        <w:tc>
          <w:tcPr>
            <w:tcW w:w="1701" w:type="dxa"/>
            <w:shd w:val="clear" w:color="auto" w:fill="FBD4B4" w:themeFill="accent6" w:themeFillTint="66"/>
          </w:tcPr>
          <w:p w:rsidR="000B1AA3" w:rsidRPr="00223A04" w:rsidRDefault="000B1AA3" w:rsidP="002E5861">
            <w:pPr>
              <w:ind w:firstLine="1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Болгария </w:t>
            </w:r>
          </w:p>
        </w:tc>
        <w:tc>
          <w:tcPr>
            <w:tcW w:w="1427" w:type="dxa"/>
          </w:tcPr>
          <w:p w:rsidR="000B1AA3" w:rsidRPr="00223A04" w:rsidRDefault="000B1AA3" w:rsidP="002E58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543</w:t>
            </w:r>
          </w:p>
        </w:tc>
        <w:tc>
          <w:tcPr>
            <w:tcW w:w="2117" w:type="dxa"/>
          </w:tcPr>
          <w:p w:rsidR="000B1AA3" w:rsidRPr="00223A04" w:rsidRDefault="000B1AA3" w:rsidP="002E5861">
            <w:pPr>
              <w:ind w:firstLine="2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4,762</w:t>
            </w:r>
          </w:p>
        </w:tc>
        <w:tc>
          <w:tcPr>
            <w:tcW w:w="1559" w:type="dxa"/>
          </w:tcPr>
          <w:p w:rsidR="000B1AA3" w:rsidRPr="00223A04" w:rsidRDefault="000B1AA3" w:rsidP="002E58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660</w:t>
            </w:r>
          </w:p>
        </w:tc>
        <w:tc>
          <w:tcPr>
            <w:tcW w:w="1985" w:type="dxa"/>
          </w:tcPr>
          <w:p w:rsidR="000B1AA3" w:rsidRPr="00223A04" w:rsidRDefault="000B1AA3" w:rsidP="002E5861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6,027</w:t>
            </w:r>
          </w:p>
        </w:tc>
        <w:tc>
          <w:tcPr>
            <w:tcW w:w="1843" w:type="dxa"/>
          </w:tcPr>
          <w:p w:rsidR="000B1AA3" w:rsidRPr="00223A04" w:rsidRDefault="000B1AA3" w:rsidP="002E5861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1,266</w:t>
            </w:r>
          </w:p>
        </w:tc>
      </w:tr>
      <w:tr w:rsidR="000B1AA3" w:rsidRPr="00223A04" w:rsidTr="002E5861">
        <w:tc>
          <w:tcPr>
            <w:tcW w:w="1701" w:type="dxa"/>
            <w:shd w:val="clear" w:color="auto" w:fill="FBD4B4" w:themeFill="accent6" w:themeFillTint="66"/>
          </w:tcPr>
          <w:p w:rsidR="000B1AA3" w:rsidRPr="00223A04" w:rsidRDefault="000B1AA3" w:rsidP="002E5861">
            <w:pPr>
              <w:ind w:firstLine="1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ОАЭ</w:t>
            </w:r>
          </w:p>
        </w:tc>
        <w:tc>
          <w:tcPr>
            <w:tcW w:w="1427" w:type="dxa"/>
          </w:tcPr>
          <w:p w:rsidR="000B1AA3" w:rsidRPr="00223A04" w:rsidRDefault="000B1AA3" w:rsidP="002E58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203</w:t>
            </w:r>
          </w:p>
        </w:tc>
        <w:tc>
          <w:tcPr>
            <w:tcW w:w="2117" w:type="dxa"/>
          </w:tcPr>
          <w:p w:rsidR="000B1AA3" w:rsidRPr="00223A04" w:rsidRDefault="000B1AA3" w:rsidP="002E5861">
            <w:pPr>
              <w:ind w:firstLine="2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1,78</w:t>
            </w:r>
          </w:p>
        </w:tc>
        <w:tc>
          <w:tcPr>
            <w:tcW w:w="1559" w:type="dxa"/>
          </w:tcPr>
          <w:p w:rsidR="000B1AA3" w:rsidRPr="00223A04" w:rsidRDefault="000B1AA3" w:rsidP="002E58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196</w:t>
            </w:r>
          </w:p>
        </w:tc>
        <w:tc>
          <w:tcPr>
            <w:tcW w:w="1985" w:type="dxa"/>
          </w:tcPr>
          <w:p w:rsidR="000B1AA3" w:rsidRPr="00223A04" w:rsidRDefault="000B1AA3" w:rsidP="002E5861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1,79</w:t>
            </w:r>
          </w:p>
        </w:tc>
        <w:tc>
          <w:tcPr>
            <w:tcW w:w="1843" w:type="dxa"/>
          </w:tcPr>
          <w:p w:rsidR="000B1AA3" w:rsidRPr="00223A04" w:rsidRDefault="000B1AA3" w:rsidP="002E5861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0B1AA3" w:rsidRPr="00223A04" w:rsidTr="002E5861">
        <w:tc>
          <w:tcPr>
            <w:tcW w:w="1701" w:type="dxa"/>
            <w:shd w:val="clear" w:color="auto" w:fill="FBD4B4" w:themeFill="accent6" w:themeFillTint="66"/>
          </w:tcPr>
          <w:p w:rsidR="000B1AA3" w:rsidRPr="00223A04" w:rsidRDefault="000B1AA3" w:rsidP="002E5861">
            <w:pPr>
              <w:ind w:firstLine="1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Испания</w:t>
            </w:r>
          </w:p>
        </w:tc>
        <w:tc>
          <w:tcPr>
            <w:tcW w:w="1427" w:type="dxa"/>
          </w:tcPr>
          <w:p w:rsidR="000B1AA3" w:rsidRPr="00223A04" w:rsidRDefault="000B1AA3" w:rsidP="002E58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2117" w:type="dxa"/>
          </w:tcPr>
          <w:p w:rsidR="000B1AA3" w:rsidRPr="00223A04" w:rsidRDefault="000B1AA3" w:rsidP="002E5861">
            <w:pPr>
              <w:ind w:firstLine="2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0,842</w:t>
            </w:r>
          </w:p>
        </w:tc>
        <w:tc>
          <w:tcPr>
            <w:tcW w:w="1559" w:type="dxa"/>
          </w:tcPr>
          <w:p w:rsidR="000B1AA3" w:rsidRPr="00223A04" w:rsidRDefault="000B1AA3" w:rsidP="002E58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1985" w:type="dxa"/>
          </w:tcPr>
          <w:p w:rsidR="000B1AA3" w:rsidRPr="00223A04" w:rsidRDefault="000B1AA3" w:rsidP="002E5861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1,269</w:t>
            </w:r>
          </w:p>
        </w:tc>
        <w:tc>
          <w:tcPr>
            <w:tcW w:w="1843" w:type="dxa"/>
          </w:tcPr>
          <w:p w:rsidR="000B1AA3" w:rsidRPr="00223A04" w:rsidRDefault="000B1AA3" w:rsidP="002E5861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</w:tr>
      <w:tr w:rsidR="000B1AA3" w:rsidRPr="00223A04" w:rsidTr="002E5861">
        <w:tc>
          <w:tcPr>
            <w:tcW w:w="1701" w:type="dxa"/>
            <w:shd w:val="clear" w:color="auto" w:fill="FBD4B4" w:themeFill="accent6" w:themeFillTint="66"/>
          </w:tcPr>
          <w:p w:rsidR="000B1AA3" w:rsidRPr="00223A04" w:rsidRDefault="000B1AA3" w:rsidP="002E5861">
            <w:pPr>
              <w:ind w:firstLine="175"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427" w:type="dxa"/>
          </w:tcPr>
          <w:p w:rsidR="000B1AA3" w:rsidRPr="00223A04" w:rsidRDefault="000B1AA3" w:rsidP="002E5861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11402</w:t>
            </w:r>
          </w:p>
        </w:tc>
        <w:tc>
          <w:tcPr>
            <w:tcW w:w="2117" w:type="dxa"/>
          </w:tcPr>
          <w:p w:rsidR="000B1AA3" w:rsidRPr="00223A04" w:rsidRDefault="000B1AA3" w:rsidP="002E5861">
            <w:pPr>
              <w:ind w:firstLine="25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559" w:type="dxa"/>
          </w:tcPr>
          <w:p w:rsidR="000B1AA3" w:rsidRPr="00223A04" w:rsidRDefault="000B1AA3" w:rsidP="002E5861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10951</w:t>
            </w:r>
          </w:p>
        </w:tc>
        <w:tc>
          <w:tcPr>
            <w:tcW w:w="1985" w:type="dxa"/>
          </w:tcPr>
          <w:p w:rsidR="000B1AA3" w:rsidRPr="00223A04" w:rsidRDefault="000B1AA3" w:rsidP="002E5861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23A0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843" w:type="dxa"/>
          </w:tcPr>
          <w:p w:rsidR="000B1AA3" w:rsidRPr="00223A04" w:rsidRDefault="000B1AA3" w:rsidP="002E5861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B1AA3" w:rsidRDefault="000B1AA3" w:rsidP="000B1AA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0B1AA3" w:rsidRDefault="000B1AA3" w:rsidP="000B1AA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Источник: составлено автором по </w:t>
      </w:r>
      <w:r w:rsidRPr="00980447">
        <w:rPr>
          <w:rFonts w:ascii="Times New Roman" w:hAnsi="Times New Roman" w:cs="Times New Roman"/>
          <w:color w:val="000000"/>
          <w:sz w:val="24"/>
          <w:szCs w:val="24"/>
        </w:rPr>
        <w:t>[14</w:t>
      </w:r>
      <w:r>
        <w:rPr>
          <w:rFonts w:ascii="Times New Roman" w:hAnsi="Times New Roman" w:cs="Times New Roman"/>
          <w:color w:val="000000"/>
          <w:sz w:val="24"/>
          <w:szCs w:val="24"/>
        </w:rPr>
        <w:t>, с.39</w:t>
      </w:r>
      <w:r w:rsidRPr="00980447">
        <w:rPr>
          <w:rFonts w:ascii="Times New Roman" w:hAnsi="Times New Roman" w:cs="Times New Roman"/>
          <w:color w:val="000000"/>
          <w:sz w:val="24"/>
          <w:szCs w:val="24"/>
        </w:rPr>
        <w:t>].</w:t>
      </w:r>
    </w:p>
    <w:p w:rsidR="000B1AA3" w:rsidRPr="00980447" w:rsidRDefault="000B1AA3" w:rsidP="000B1AA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223A04">
        <w:rPr>
          <w:rFonts w:ascii="Times New Roman" w:hAnsi="Times New Roman" w:cs="Times New Roman"/>
          <w:color w:val="000000"/>
          <w:sz w:val="24"/>
          <w:szCs w:val="24"/>
        </w:rPr>
        <w:t xml:space="preserve">а основе вычислений по необходимым параметрам, </w:t>
      </w:r>
      <w:r w:rsidRPr="004B7FA2">
        <w:rPr>
          <w:rFonts w:ascii="Times New Roman" w:hAnsi="Times New Roman" w:cs="Times New Roman"/>
          <w:color w:val="000000"/>
          <w:sz w:val="24"/>
          <w:szCs w:val="24"/>
        </w:rPr>
        <w:t>будет составлена</w:t>
      </w:r>
      <w:r w:rsidRPr="009804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диаграмма</w:t>
      </w:r>
      <w:r w:rsidRPr="00223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2.2 с </w:t>
      </w:r>
      <w:r w:rsidRPr="00223A04">
        <w:rPr>
          <w:rFonts w:ascii="Times New Roman" w:hAnsi="Times New Roman" w:cs="Times New Roman"/>
          <w:color w:val="000000"/>
          <w:sz w:val="24"/>
          <w:szCs w:val="24"/>
        </w:rPr>
        <w:t>направления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>ми</w:t>
      </w:r>
      <w:r w:rsidRPr="00223A04">
        <w:rPr>
          <w:rFonts w:ascii="Times New Roman" w:hAnsi="Times New Roman" w:cs="Times New Roman"/>
          <w:color w:val="000000"/>
          <w:sz w:val="24"/>
          <w:szCs w:val="24"/>
        </w:rPr>
        <w:t>. По оси Х будут располагаться данные о доле продукта в числе продаж за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23A04">
        <w:rPr>
          <w:rFonts w:ascii="Times New Roman" w:hAnsi="Times New Roman" w:cs="Times New Roman"/>
          <w:color w:val="000000"/>
          <w:sz w:val="24"/>
          <w:szCs w:val="24"/>
        </w:rPr>
        <w:t xml:space="preserve"> предыдущий период (2008 год), по оси </w:t>
      </w:r>
      <w:r w:rsidRPr="00223A04">
        <w:rPr>
          <w:rFonts w:ascii="Times New Roman" w:hAnsi="Times New Roman" w:cs="Times New Roman"/>
          <w:color w:val="000000"/>
          <w:sz w:val="24"/>
          <w:szCs w:val="24"/>
          <w:lang w:val="en-US"/>
        </w:rPr>
        <w:t>Y</w:t>
      </w:r>
      <w:r w:rsidRPr="00223A04">
        <w:rPr>
          <w:rFonts w:ascii="Times New Roman" w:hAnsi="Times New Roman" w:cs="Times New Roman"/>
          <w:color w:val="000000"/>
          <w:sz w:val="24"/>
          <w:szCs w:val="24"/>
        </w:rPr>
        <w:t xml:space="preserve"> – темпы прироста продукта за 2009 год.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B1AA3" w:rsidRPr="004B7FA2" w:rsidRDefault="000B1AA3" w:rsidP="000B1AA3">
      <w:pPr>
        <w:tabs>
          <w:tab w:val="left" w:pos="567"/>
        </w:tabs>
        <w:spacing w:after="0" w:line="360" w:lineRule="auto"/>
        <w:ind w:firstLine="56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B7FA2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Диаграмма 2.2</w:t>
      </w: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Матрица БКГ продуктов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4B7FA2">
        <w:rPr>
          <w:rFonts w:ascii="Times New Roman" w:hAnsi="Times New Roman" w:cs="Times New Roman"/>
          <w:color w:val="000000"/>
          <w:sz w:val="24"/>
          <w:szCs w:val="24"/>
        </w:rPr>
        <w:t>латан</w:t>
      </w:r>
      <w:proofErr w:type="spellEnd"/>
      <w:r w:rsidRPr="004B7FA2">
        <w:rPr>
          <w:rFonts w:ascii="Times New Roman" w:hAnsi="Times New Roman" w:cs="Times New Roman"/>
          <w:color w:val="000000"/>
          <w:sz w:val="24"/>
          <w:szCs w:val="24"/>
        </w:rPr>
        <w:t xml:space="preserve"> тур»</w:t>
      </w:r>
    </w:p>
    <w:p w:rsidR="000B1AA3" w:rsidRPr="00223A04" w:rsidRDefault="000B1AA3" w:rsidP="000B1AA3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B1AA3" w:rsidRPr="00223A04" w:rsidRDefault="000B1AA3" w:rsidP="000B1AA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40E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248.7pt;margin-top:142.4pt;width:100.5pt;height:23.25pt;z-index:251663360" filled="f">
            <v:textbox>
              <w:txbxContent>
                <w:p w:rsidR="000B1AA3" w:rsidRDefault="000B1AA3" w:rsidP="000B1AA3">
                  <w:r>
                    <w:t>Дойные коровы</w:t>
                  </w:r>
                </w:p>
              </w:txbxContent>
            </v:textbox>
          </v:shape>
        </w:pict>
      </w:r>
      <w:r w:rsidRPr="006040E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28" type="#_x0000_t202" style="position:absolute;left:0;text-align:left;margin-left:250.2pt;margin-top:111.65pt;width:67.5pt;height:20.25pt;z-index:251662336" filled="f">
            <v:textbox>
              <w:txbxContent>
                <w:p w:rsidR="000B1AA3" w:rsidRDefault="000B1AA3" w:rsidP="000B1AA3">
                  <w:r>
                    <w:t>Звезды</w:t>
                  </w:r>
                </w:p>
              </w:txbxContent>
            </v:textbox>
          </v:shape>
        </w:pict>
      </w:r>
      <w:r w:rsidRPr="006040E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30" type="#_x0000_t202" style="position:absolute;left:0;text-align:left;margin-left:178.2pt;margin-top:142.4pt;width:56.25pt;height:23.25pt;z-index:251664384" filled="f">
            <v:textbox>
              <w:txbxContent>
                <w:p w:rsidR="000B1AA3" w:rsidRPr="00086B90" w:rsidRDefault="000B1AA3" w:rsidP="000B1AA3">
                  <w:pPr>
                    <w:rPr>
                      <w:sz w:val="24"/>
                      <w:szCs w:val="24"/>
                    </w:rPr>
                  </w:pPr>
                  <w:r w:rsidRPr="00086B90">
                    <w:rPr>
                      <w:sz w:val="24"/>
                      <w:szCs w:val="24"/>
                    </w:rPr>
                    <w:t>Собаки</w:t>
                  </w:r>
                </w:p>
              </w:txbxContent>
            </v:textbox>
          </v:shape>
        </w:pict>
      </w:r>
      <w:r w:rsidRPr="006040E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31" type="#_x0000_t202" style="position:absolute;left:0;text-align:left;margin-left:160.95pt;margin-top:111.65pt;width:78pt;height:20.25pt;z-index:251665408" filled="f">
            <v:stroke dashstyle="1 1"/>
            <v:textbox>
              <w:txbxContent>
                <w:p w:rsidR="000B1AA3" w:rsidRDefault="000B1AA3" w:rsidP="000B1AA3">
                  <w:r>
                    <w:t>Дикие кошки</w:t>
                  </w:r>
                </w:p>
              </w:txbxContent>
            </v:textbox>
          </v:shape>
        </w:pict>
      </w:r>
      <w:r w:rsidRPr="006040E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55.2pt;margin-top:135.65pt;width:400.5pt;height:0;z-index:251661312" o:connectortype="straight" strokeweight="1.5pt"/>
        </w:pict>
      </w:r>
      <w:r w:rsidRPr="006040E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26" type="#_x0000_t32" style="position:absolute;left:0;text-align:left;margin-left:242.7pt;margin-top:5.9pt;width:0;height:213.75pt;flip:y;z-index:251660288" o:connectortype="straight" strokeweight="1.5pt"/>
        </w:pict>
      </w:r>
      <w:r w:rsidRPr="00223A04">
        <w:rPr>
          <w:rFonts w:ascii="Times New Roman" w:hAnsi="Times New Roman" w:cs="Times New Roman"/>
          <w:noProof/>
          <w:color w:val="000000"/>
          <w:sz w:val="24"/>
          <w:szCs w:val="24"/>
          <w:lang w:val="en-US"/>
        </w:rPr>
        <w:drawing>
          <wp:inline distT="0" distB="0" distL="0" distR="0">
            <wp:extent cx="5486400" cy="3200400"/>
            <wp:effectExtent l="19050" t="0" r="19050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B1AA3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B1AA3" w:rsidRPr="00A55994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Источник: составлено автором по </w:t>
      </w:r>
      <w:r w:rsidRPr="00A55994">
        <w:rPr>
          <w:rFonts w:ascii="Times New Roman" w:hAnsi="Times New Roman" w:cs="Times New Roman"/>
          <w:color w:val="000000"/>
          <w:sz w:val="24"/>
          <w:szCs w:val="24"/>
        </w:rPr>
        <w:t>[14</w:t>
      </w:r>
      <w:r>
        <w:rPr>
          <w:rFonts w:ascii="Times New Roman" w:hAnsi="Times New Roman" w:cs="Times New Roman"/>
          <w:color w:val="000000"/>
          <w:sz w:val="24"/>
          <w:szCs w:val="24"/>
        </w:rPr>
        <w:t>, 39</w:t>
      </w:r>
      <w:r w:rsidRPr="00A55994">
        <w:rPr>
          <w:rFonts w:ascii="Times New Roman" w:hAnsi="Times New Roman" w:cs="Times New Roman"/>
          <w:color w:val="000000"/>
          <w:sz w:val="24"/>
          <w:szCs w:val="24"/>
        </w:rPr>
        <w:t>].</w:t>
      </w:r>
    </w:p>
    <w:p w:rsidR="000B1AA3" w:rsidRPr="00223A04" w:rsidRDefault="000B1AA3" w:rsidP="000B1AA3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3A04">
        <w:rPr>
          <w:rFonts w:ascii="Times New Roman" w:hAnsi="Times New Roman" w:cs="Times New Roman"/>
          <w:color w:val="000000"/>
          <w:sz w:val="24"/>
          <w:szCs w:val="24"/>
        </w:rPr>
        <w:t xml:space="preserve">После построения диаграммы, можно сделать выводы 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стратегиях дальнейшего развития </w:t>
      </w:r>
      <w:r w:rsidRPr="00223A04">
        <w:rPr>
          <w:rFonts w:ascii="Times New Roman" w:hAnsi="Times New Roman" w:cs="Times New Roman"/>
          <w:color w:val="000000"/>
          <w:sz w:val="24"/>
          <w:szCs w:val="24"/>
        </w:rPr>
        <w:t xml:space="preserve"> для каждого из направлений. </w:t>
      </w:r>
    </w:p>
    <w:p w:rsidR="002B4068" w:rsidRPr="000B1AA3" w:rsidRDefault="002B4068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B1AA3" w:rsidRPr="000B1AA3" w:rsidRDefault="000B1AA3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B1AA3" w:rsidRPr="000B1AA3" w:rsidRDefault="000B1AA3" w:rsidP="002B40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B4068" w:rsidRPr="00114E42" w:rsidRDefault="002B4068" w:rsidP="002B4068">
      <w:pPr>
        <w:spacing w:after="0"/>
        <w:rPr>
          <w:rFonts w:ascii="Times New Roman" w:hAnsi="Times New Roman"/>
          <w:strike/>
          <w:color w:val="000000"/>
          <w:sz w:val="24"/>
          <w:szCs w:val="24"/>
        </w:rPr>
      </w:pPr>
      <w:r w:rsidRPr="00114E42">
        <w:rPr>
          <w:rFonts w:ascii="Times New Roman" w:hAnsi="Times New Roman"/>
          <w:strike/>
          <w:color w:val="000000"/>
          <w:sz w:val="24"/>
          <w:szCs w:val="24"/>
        </w:rPr>
        <w:br w:type="page"/>
      </w:r>
    </w:p>
    <w:sectPr w:rsidR="002B4068" w:rsidRPr="00114E42" w:rsidSect="008B1A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019A" w:rsidRDefault="00D1019A" w:rsidP="002B4068">
      <w:pPr>
        <w:spacing w:after="0" w:line="240" w:lineRule="auto"/>
      </w:pPr>
      <w:r>
        <w:separator/>
      </w:r>
    </w:p>
  </w:endnote>
  <w:endnote w:type="continuationSeparator" w:id="0">
    <w:p w:rsidR="00D1019A" w:rsidRDefault="00D1019A" w:rsidP="002B4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019A" w:rsidRDefault="00D1019A" w:rsidP="002B4068">
      <w:pPr>
        <w:spacing w:after="0" w:line="240" w:lineRule="auto"/>
      </w:pPr>
      <w:r>
        <w:separator/>
      </w:r>
    </w:p>
  </w:footnote>
  <w:footnote w:type="continuationSeparator" w:id="0">
    <w:p w:rsidR="00D1019A" w:rsidRDefault="00D1019A" w:rsidP="002B4068">
      <w:pPr>
        <w:spacing w:after="0" w:line="240" w:lineRule="auto"/>
      </w:pPr>
      <w:r>
        <w:continuationSeparator/>
      </w:r>
    </w:p>
  </w:footnote>
  <w:footnote w:id="1">
    <w:p w:rsidR="002B4068" w:rsidRPr="006A5C48" w:rsidRDefault="002B4068" w:rsidP="002B4068">
      <w:pPr>
        <w:pStyle w:val="a3"/>
        <w:rPr>
          <w:rFonts w:ascii="Times New Roman" w:hAnsi="Times New Roman" w:cs="Times New Roman"/>
          <w:color w:val="000000"/>
        </w:rPr>
      </w:pPr>
      <w:r w:rsidRPr="006A5C48">
        <w:rPr>
          <w:rStyle w:val="a5"/>
          <w:rFonts w:ascii="Times New Roman" w:hAnsi="Times New Roman" w:cs="Times New Roman"/>
          <w:color w:val="000000"/>
        </w:rPr>
        <w:footnoteRef/>
      </w:r>
      <w:r w:rsidRPr="006A5C48">
        <w:rPr>
          <w:rFonts w:ascii="Times New Roman" w:hAnsi="Times New Roman" w:cs="Times New Roman"/>
          <w:color w:val="000000"/>
        </w:rPr>
        <w:t xml:space="preserve"> Стоимость тура приведена на условиях недельной поездки на двоих в </w:t>
      </w:r>
      <w:proofErr w:type="spellStart"/>
      <w:r w:rsidRPr="006A5C48">
        <w:rPr>
          <w:rFonts w:ascii="Times New Roman" w:hAnsi="Times New Roman" w:cs="Times New Roman"/>
          <w:color w:val="000000"/>
        </w:rPr>
        <w:t>четырехзвездочный</w:t>
      </w:r>
      <w:proofErr w:type="spellEnd"/>
      <w:r w:rsidRPr="006A5C48">
        <w:rPr>
          <w:rFonts w:ascii="Times New Roman" w:hAnsi="Times New Roman" w:cs="Times New Roman"/>
          <w:color w:val="000000"/>
        </w:rPr>
        <w:t xml:space="preserve"> отель.</w:t>
      </w:r>
    </w:p>
  </w:footnote>
  <w:footnote w:id="2">
    <w:p w:rsidR="002B4068" w:rsidRDefault="002B4068" w:rsidP="002B4068">
      <w:pPr>
        <w:pStyle w:val="a3"/>
      </w:pPr>
      <w:r w:rsidRPr="006A5C48">
        <w:rPr>
          <w:rStyle w:val="a5"/>
          <w:rFonts w:ascii="Times New Roman" w:hAnsi="Times New Roman" w:cs="Times New Roman"/>
          <w:color w:val="000000"/>
        </w:rPr>
        <w:footnoteRef/>
      </w:r>
      <w:r w:rsidRPr="006A5C48">
        <w:rPr>
          <w:rFonts w:ascii="Times New Roman" w:hAnsi="Times New Roman" w:cs="Times New Roman"/>
          <w:color w:val="000000"/>
        </w:rPr>
        <w:t xml:space="preserve"> Приведенную сумму стоит умножить на 10 тысяч. Данный прием использовался,  чтобы упростить значения и сделать данные диаграммы более наглядными.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40520B"/>
    <w:multiLevelType w:val="multilevel"/>
    <w:tmpl w:val="695A22AE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4068"/>
    <w:rsid w:val="000B1AA3"/>
    <w:rsid w:val="002B4068"/>
    <w:rsid w:val="008B1A12"/>
    <w:rsid w:val="008C3B65"/>
    <w:rsid w:val="00D10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068"/>
    <w:rPr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B40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40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paragraph" w:styleId="a3">
    <w:name w:val="footnote text"/>
    <w:basedOn w:val="a"/>
    <w:link w:val="a4"/>
    <w:uiPriority w:val="99"/>
    <w:unhideWhenUsed/>
    <w:rsid w:val="002B406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2B4068"/>
    <w:rPr>
      <w:sz w:val="20"/>
      <w:szCs w:val="20"/>
      <w:lang w:val="ru-RU"/>
    </w:rPr>
  </w:style>
  <w:style w:type="character" w:styleId="a5">
    <w:name w:val="footnote reference"/>
    <w:basedOn w:val="a0"/>
    <w:uiPriority w:val="99"/>
    <w:semiHidden/>
    <w:unhideWhenUsed/>
    <w:rsid w:val="002B4068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2B4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068"/>
    <w:rPr>
      <w:rFonts w:ascii="Tahoma" w:hAnsi="Tahoma" w:cs="Tahoma"/>
      <w:sz w:val="16"/>
      <w:szCs w:val="16"/>
      <w:lang w:val="ru-RU"/>
    </w:rPr>
  </w:style>
  <w:style w:type="table" w:styleId="a8">
    <w:name w:val="Table Grid"/>
    <w:basedOn w:val="a1"/>
    <w:uiPriority w:val="59"/>
    <w:rsid w:val="000B1AA3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1"/>
  <c:chart>
    <c:autoTitleDeleted val="1"/>
    <c:plotArea>
      <c:layout/>
      <c:bubbleChart>
        <c:ser>
          <c:idx val="0"/>
          <c:order val="0"/>
          <c:tx>
            <c:strRef>
              <c:f>Лист1!$B$1</c:f>
              <c:strCache>
                <c:ptCount val="1"/>
                <c:pt idx="0">
                  <c:v>Значения Y</c:v>
                </c:pt>
              </c:strCache>
            </c:strRef>
          </c:tx>
          <c:dLbls>
            <c:dLbl>
              <c:idx val="0"/>
              <c:layout>
                <c:manualLayout>
                  <c:x val="-2.3148148148148147E-3"/>
                  <c:y val="-2.3809523809523832E-2"/>
                </c:manualLayout>
              </c:layout>
              <c:tx>
                <c:rich>
                  <a:bodyPr/>
                  <a:lstStyle/>
                  <a:p>
                    <a:r>
                      <a:rPr lang="ru-RU" sz="1400" b="1"/>
                      <a:t>Турция</a:t>
                    </a:r>
                    <a:endParaRPr lang="en-US" sz="1400" b="1"/>
                  </a:p>
                </c:rich>
              </c:tx>
              <c:showVal val="1"/>
            </c:dLbl>
            <c:dLbl>
              <c:idx val="1"/>
              <c:layout>
                <c:manualLayout>
                  <c:x val="0"/>
                  <c:y val="-2.3809523809523832E-2"/>
                </c:manualLayout>
              </c:layout>
              <c:tx>
                <c:rich>
                  <a:bodyPr/>
                  <a:lstStyle/>
                  <a:p>
                    <a:r>
                      <a:rPr lang="ru-RU" sz="1400" b="1"/>
                      <a:t>Египет</a:t>
                    </a:r>
                    <a:endParaRPr lang="en-US" sz="1400" b="1"/>
                  </a:p>
                </c:rich>
              </c:tx>
              <c:showVal val="1"/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ru-RU" sz="1400" b="1"/>
                      <a:t>Болгария</a:t>
                    </a:r>
                    <a:endParaRPr lang="en-US" sz="1400" b="1"/>
                  </a:p>
                </c:rich>
              </c:tx>
              <c:showVal val="1"/>
            </c:dLbl>
            <c:dLbl>
              <c:idx val="3"/>
              <c:layout/>
              <c:tx>
                <c:rich>
                  <a:bodyPr/>
                  <a:lstStyle/>
                  <a:p>
                    <a:r>
                      <a:rPr lang="ru-RU" sz="1400" b="1"/>
                      <a:t>ОАЭ</a:t>
                    </a:r>
                    <a:endParaRPr lang="en-US" sz="1400" b="1"/>
                  </a:p>
                </c:rich>
              </c:tx>
              <c:showVal val="1"/>
            </c:dLbl>
            <c:dLbl>
              <c:idx val="4"/>
              <c:layout/>
              <c:tx>
                <c:rich>
                  <a:bodyPr/>
                  <a:lstStyle/>
                  <a:p>
                    <a:r>
                      <a:rPr lang="ru-RU" sz="1400" b="1"/>
                      <a:t>Испания</a:t>
                    </a:r>
                    <a:endParaRPr lang="en-US" sz="1400" b="1"/>
                  </a:p>
                </c:rich>
              </c:tx>
              <c:showVal val="1"/>
            </c:dLbl>
            <c:delete val="1"/>
          </c:dLbls>
          <c:xVal>
            <c:numRef>
              <c:f>Лист1!$A$2:$A$6</c:f>
              <c:numCache>
                <c:formatCode>General</c:formatCode>
                <c:ptCount val="5"/>
                <c:pt idx="0">
                  <c:v>68.9440000000005</c:v>
                </c:pt>
                <c:pt idx="1">
                  <c:v>23.670999999999999</c:v>
                </c:pt>
                <c:pt idx="2">
                  <c:v>4.7619999999999996</c:v>
                </c:pt>
                <c:pt idx="3">
                  <c:v>1.7800000000000007</c:v>
                </c:pt>
                <c:pt idx="4">
                  <c:v>0.84200000000000064</c:v>
                </c:pt>
              </c:numCache>
            </c:numRef>
          </c:xVal>
          <c:yVal>
            <c:numRef>
              <c:f>Лист1!$B$2:$B$6</c:f>
              <c:numCache>
                <c:formatCode>General</c:formatCode>
                <c:ptCount val="5"/>
                <c:pt idx="0">
                  <c:v>0.82299999999999995</c:v>
                </c:pt>
                <c:pt idx="1">
                  <c:v>1.4449999999999916</c:v>
                </c:pt>
                <c:pt idx="2">
                  <c:v>1.266</c:v>
                </c:pt>
                <c:pt idx="3">
                  <c:v>1</c:v>
                </c:pt>
                <c:pt idx="4">
                  <c:v>1.5</c:v>
                </c:pt>
              </c:numCache>
            </c:numRef>
          </c:yVal>
          <c:bubbleSize>
            <c:numRef>
              <c:f>Лист1!$C$2:$C$6</c:f>
              <c:numCache>
                <c:formatCode>General</c:formatCode>
                <c:ptCount val="5"/>
                <c:pt idx="0">
                  <c:v>10</c:v>
                </c:pt>
                <c:pt idx="1">
                  <c:v>8</c:v>
                </c:pt>
                <c:pt idx="2">
                  <c:v>6</c:v>
                </c:pt>
                <c:pt idx="3">
                  <c:v>4</c:v>
                </c:pt>
                <c:pt idx="4">
                  <c:v>2</c:v>
                </c:pt>
              </c:numCache>
            </c:numRef>
          </c:bubbleSize>
          <c:bubble3D val="1"/>
        </c:ser>
        <c:bubbleScale val="100"/>
        <c:axId val="37480704"/>
        <c:axId val="55844864"/>
      </c:bubbleChart>
      <c:valAx>
        <c:axId val="37480704"/>
        <c:scaling>
          <c:orientation val="minMax"/>
        </c:scaling>
        <c:axPos val="b"/>
        <c:numFmt formatCode="General" sourceLinked="1"/>
        <c:tickLblPos val="nextTo"/>
        <c:crossAx val="55844864"/>
        <c:crosses val="autoZero"/>
        <c:crossBetween val="midCat"/>
      </c:valAx>
      <c:valAx>
        <c:axId val="55844864"/>
        <c:scaling>
          <c:orientation val="minMax"/>
        </c:scaling>
        <c:axPos val="l"/>
        <c:majorGridlines/>
        <c:numFmt formatCode="General" sourceLinked="1"/>
        <c:tickLblPos val="nextTo"/>
        <c:crossAx val="37480704"/>
        <c:crosses val="autoZero"/>
        <c:crossBetween val="midCat"/>
      </c:valAx>
    </c:plotArea>
    <c:plotVisOnly val="1"/>
  </c:chart>
  <c:externalData r:id="rId1"/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0.69618</cdr:x>
      <cdr:y>0.16964</cdr:y>
    </cdr:from>
    <cdr:to>
      <cdr:x>0.95486</cdr:x>
      <cdr:y>0.32143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3819524" y="542925"/>
          <a:ext cx="1419225" cy="4857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1559</Words>
  <Characters>8889</Characters>
  <Application>Microsoft Office Word</Application>
  <DocSecurity>0</DocSecurity>
  <Lines>74</Lines>
  <Paragraphs>20</Paragraphs>
  <ScaleCrop>false</ScaleCrop>
  <Company/>
  <LinksUpToDate>false</LinksUpToDate>
  <CharactersWithSpaces>10428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</dc:creator>
  <cp:lastModifiedBy>Nadin</cp:lastModifiedBy>
  <cp:revision>2</cp:revision>
  <dcterms:created xsi:type="dcterms:W3CDTF">2010-12-26T19:38:00Z</dcterms:created>
  <dcterms:modified xsi:type="dcterms:W3CDTF">2010-12-26T19:38:00Z</dcterms:modified>
</cp:coreProperties>
</file>