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000000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FFFFFF" w:val="clear"/>
        </w:rPr>
        <w:t xml:space="preserve">Описание работы в модуле 3</w:t>
      </w:r>
    </w:p>
    <w:p>
      <w:pPr>
        <w:spacing w:before="100" w:after="10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Модуль 3</w:t>
      </w:r>
    </w:p>
    <w:p>
      <w:pPr>
        <w:spacing w:before="100" w:after="10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"</w:t>
      </w:r>
      <w:r>
        <w:rPr>
          <w:rFonts w:ascii="Arial" w:hAnsi="Arial" w:cs="Arial" w:eastAsia="Arial"/>
          <w:b/>
          <w:color w:val="000000"/>
          <w:spacing w:val="0"/>
          <w:position w:val="0"/>
          <w:sz w:val="20"/>
          <w:shd w:fill="auto" w:val="clear"/>
        </w:rPr>
        <w:t xml:space="preserve">Стандарты прав человека и источники международного права"</w:t>
      </w:r>
    </w:p>
    <w:p>
      <w:pPr>
        <w:spacing w:before="100" w:after="10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В предыдущих модулях наряду с известными в праве терминами 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источники международного права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», «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нормы права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», «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международные документы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», «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нормативно-правовые акты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» 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неоднократно применялся термин 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международные стандарты прав человека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».</w:t>
      </w:r>
    </w:p>
    <w:p>
      <w:pPr>
        <w:spacing w:before="100" w:after="10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Случайно ли применение этого термина? Если нет, синонимом какого из перечисленных выше правовых понятий он является? Существуют ли доктрина и определение этого термина? Если нет, применим ли термин 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международные стандарты прав человека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» 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auto" w:val="clear"/>
        </w:rPr>
        <w:t xml:space="preserve">в правовом обороте? Как соотносится этот термин с источниками права?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Порядок работы в модуле:</w:t>
      </w:r>
    </w:p>
    <w:p>
      <w:pPr>
        <w:numPr>
          <w:ilvl w:val="0"/>
          <w:numId w:val="4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Прочтите Всеобщую Декларацию прав человека, а также дополнительную  литературу, в частности статью Зыбайло, А. "К вопросу о правовом статусе Всеобщей Декларации прав человека и ее влиянии на правотворческий и правоприменительный процессы", Журнал международного права и международных отношений 2005 — № 1. (находится в материалах модуля)</w:t>
      </w:r>
    </w:p>
    <w:p>
      <w:pPr>
        <w:numPr>
          <w:ilvl w:val="0"/>
          <w:numId w:val="4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Примите участие в дискуссии в форуме</w:t>
      </w:r>
    </w:p>
    <w:p>
      <w:pPr>
        <w:numPr>
          <w:ilvl w:val="0"/>
          <w:numId w:val="4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Прочтите лекцию 3</w:t>
      </w:r>
    </w:p>
    <w:p>
      <w:pPr>
        <w:numPr>
          <w:ilvl w:val="0"/>
          <w:numId w:val="4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Выполните практические задания в той последовательности, какая покажется Вам более удобной для Вас.  </w:t>
      </w:r>
    </w:p>
    <w:p>
      <w:pPr>
        <w:numPr>
          <w:ilvl w:val="0"/>
          <w:numId w:val="4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Прочтите раздел 1 статьи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Международно-правовые стандарты и законодательство Республики Беларусь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книге 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2"/>
          <w:shd w:fill="auto" w:val="clear"/>
        </w:rPr>
        <w:t xml:space="preserve">Права человека: международное право и национальное законодательство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сб. автор. ст. под ред. В.Филиппова, Вильнюс, 2011. (находится в материалах модуля).</w:t>
      </w:r>
    </w:p>
    <w:p>
      <w:pPr>
        <w:numPr>
          <w:ilvl w:val="0"/>
          <w:numId w:val="4"/>
        </w:numPr>
        <w:spacing w:before="0" w:after="200" w:line="276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Выберите тему творческого задания(находятся в материалах модуля)</w:t>
      </w:r>
    </w:p>
    <w:p>
      <w:pPr>
        <w:numPr>
          <w:ilvl w:val="0"/>
          <w:numId w:val="4"/>
        </w:numPr>
        <w:spacing w:before="0" w:after="200" w:line="276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Начните выполнять первый этап задания</w:t>
      </w:r>
    </w:p>
    <w:p>
      <w:pPr>
        <w:numPr>
          <w:ilvl w:val="0"/>
          <w:numId w:val="4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Проанализируйте информацию из Таблицы 2 Стандарты: Группы и Эффективность С информацией из этой таблицы Вам предстоит работать в модуле 5. </w:t>
      </w:r>
    </w:p>
    <w:p>
      <w:pPr>
        <w:spacing w:before="0" w:after="200" w:line="276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4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