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7DF6" w:rsidRDefault="00F62D37">
      <w:pPr>
        <w:pStyle w:val="Standard"/>
        <w:rPr>
          <w:b/>
          <w:bCs/>
          <w:color w:val="000000"/>
          <w:lang w:val="ru-RU"/>
        </w:rPr>
      </w:pPr>
      <w:r>
        <w:rPr>
          <w:b/>
          <w:bCs/>
          <w:color w:val="000000"/>
          <w:lang w:val="ru-RU"/>
        </w:rPr>
        <w:t>Глава «</w:t>
      </w:r>
      <w:r w:rsidR="00505580">
        <w:rPr>
          <w:b/>
          <w:bCs/>
          <w:color w:val="000000"/>
          <w:lang w:val="ru-RU"/>
        </w:rPr>
        <w:t>Lex posterior: принцип отмены предыдущего нормативного акта последующим</w:t>
      </w:r>
      <w:r>
        <w:rPr>
          <w:b/>
          <w:bCs/>
          <w:color w:val="000000"/>
          <w:lang w:val="ru-RU"/>
        </w:rPr>
        <w:t>»</w:t>
      </w:r>
    </w:p>
    <w:p w:rsidR="00FA7DF6" w:rsidRDefault="00FA7DF6">
      <w:pPr>
        <w:pStyle w:val="Standard"/>
        <w:rPr>
          <w:color w:val="000000"/>
          <w:lang w:val="ru-RU"/>
        </w:rPr>
      </w:pPr>
    </w:p>
    <w:p w:rsidR="00FA7DF6" w:rsidRDefault="00505580">
      <w:pPr>
        <w:pStyle w:val="Standard"/>
        <w:jc w:val="both"/>
        <w:rPr>
          <w:color w:val="000000"/>
          <w:lang w:val="ru-RU"/>
        </w:rPr>
      </w:pPr>
      <w:r>
        <w:rPr>
          <w:color w:val="000000"/>
          <w:lang w:val="ru-RU"/>
        </w:rPr>
        <w:t>Правильное понимание того, что международно-правовая норма обладает статусом выше национального законодательства, имеет важное значение при рассмотрении принципа соотношения предыдущего и последующего нормативных актов (закон последующий отменяет закон предыдущий) в случае международного договора.</w:t>
      </w:r>
    </w:p>
    <w:p w:rsidR="00FA7DF6" w:rsidRDefault="00505580">
      <w:pPr>
        <w:pStyle w:val="Standard"/>
        <w:jc w:val="both"/>
        <w:rPr>
          <w:color w:val="000000"/>
          <w:lang w:val="ru-RU"/>
        </w:rPr>
      </w:pPr>
      <w:r>
        <w:rPr>
          <w:color w:val="000000"/>
          <w:lang w:val="ru-RU"/>
        </w:rPr>
        <w:t>Для юристов очевидно, что новый законодательный акт отменяет акт, существовавший до его издания. Действует ли этот принцип в случае международного договора и последующего закона с идентичным объектом регулирования?</w:t>
      </w:r>
    </w:p>
    <w:p w:rsidR="00FA7DF6" w:rsidRDefault="00505580">
      <w:pPr>
        <w:pStyle w:val="Standard"/>
        <w:jc w:val="both"/>
        <w:rPr>
          <w:color w:val="000000"/>
          <w:lang w:val="ru-RU"/>
        </w:rPr>
      </w:pPr>
      <w:r>
        <w:rPr>
          <w:color w:val="000000"/>
          <w:lang w:val="ru-RU"/>
        </w:rPr>
        <w:t>Очевидно, что реализация международно-правовых норм не может происходить без обеспечения, которое осуществляется на национальном уровне.</w:t>
      </w:r>
    </w:p>
    <w:p w:rsidR="00FA7DF6" w:rsidRDefault="00505580">
      <w:pPr>
        <w:pStyle w:val="Standard"/>
        <w:jc w:val="both"/>
        <w:rPr>
          <w:color w:val="000000"/>
          <w:lang w:val="ru-RU"/>
        </w:rPr>
      </w:pPr>
      <w:r>
        <w:rPr>
          <w:color w:val="000000"/>
          <w:lang w:val="ru-RU"/>
        </w:rPr>
        <w:t>В странах, где ратификация международного договора осуществляется в форме закона, такой закон о ратификации международного договора придает этому международному договору ранг того акта, которым этот международный договор был инкорпорирован в национальное законодательство.</w:t>
      </w:r>
    </w:p>
    <w:p w:rsidR="00FA7DF6" w:rsidRDefault="00505580">
      <w:pPr>
        <w:pStyle w:val="Standard"/>
        <w:jc w:val="both"/>
        <w:rPr>
          <w:color w:val="000000"/>
          <w:lang w:val="ru-RU"/>
        </w:rPr>
      </w:pPr>
      <w:r>
        <w:rPr>
          <w:color w:val="000000"/>
          <w:lang w:val="ru-RU"/>
        </w:rPr>
        <w:t>При таком положении дел последующий закон в случае его противоречия предыдущему, в том числе закону о ратификации международного договора, мог бы отменить действие международного договора. Это неизбежно привело бы к нарушению принципа ”Pacta sunt servanda» (см. лекцию 4).</w:t>
      </w:r>
    </w:p>
    <w:p w:rsidR="00FA7DF6" w:rsidRDefault="00505580">
      <w:pPr>
        <w:pStyle w:val="Standard"/>
        <w:jc w:val="both"/>
        <w:rPr>
          <w:color w:val="000000"/>
          <w:lang w:val="ru-RU"/>
        </w:rPr>
      </w:pPr>
      <w:r>
        <w:rPr>
          <w:color w:val="000000"/>
          <w:lang w:val="ru-RU"/>
        </w:rPr>
        <w:t>В этой связи большинство стран обеспечивают такую имплементацию международного права в национальную систему и такое толкование норм, определяющих место международного договора в системе национального законодательства, которое бы не влекло за собой нарушение международных обязательств.</w:t>
      </w:r>
    </w:p>
    <w:p w:rsidR="00FA7DF6" w:rsidRDefault="00505580">
      <w:pPr>
        <w:pStyle w:val="Standard"/>
        <w:jc w:val="both"/>
        <w:rPr>
          <w:color w:val="000000"/>
          <w:lang w:val="ru-RU"/>
        </w:rPr>
      </w:pPr>
      <w:r>
        <w:rPr>
          <w:color w:val="000000"/>
          <w:lang w:val="ru-RU"/>
        </w:rPr>
        <w:t>В Германии, где Конституция имеет приоритет перед международным договором, Конституционный суд неоднократно выступал с разъяснениями о «дружественном» толковании норм международного права в пользу их приоритета в случае расхождения с национальным правом.</w:t>
      </w:r>
    </w:p>
    <w:p w:rsidR="00FA7DF6" w:rsidRPr="00505580" w:rsidRDefault="00505580">
      <w:pPr>
        <w:pStyle w:val="Standard"/>
        <w:jc w:val="both"/>
        <w:rPr>
          <w:lang w:val="ru-RU"/>
        </w:rPr>
      </w:pPr>
      <w:r>
        <w:rPr>
          <w:color w:val="000000"/>
          <w:lang w:val="ru-RU"/>
        </w:rPr>
        <w:t xml:space="preserve"> Действительно, поскольку международно-правовая норма имеет иную правовую природу, чем национальная, ее прекращение не может регулироваться национальным правом. Международная норма может быть прекращена лишь по основаниям, предусмотренным в Венской Конвенции, например, с согласия всех его участников (статья 54)</w:t>
      </w:r>
      <w:r>
        <w:rPr>
          <w:rStyle w:val="FootnoteReference"/>
          <w:color w:val="000000"/>
          <w:lang w:val="ru-RU"/>
        </w:rPr>
        <w:footnoteReference w:id="1"/>
      </w:r>
      <w:r>
        <w:rPr>
          <w:color w:val="000000"/>
          <w:lang w:val="ru-RU"/>
        </w:rPr>
        <w:t>.</w:t>
      </w:r>
    </w:p>
    <w:p w:rsidR="00FA7DF6" w:rsidRDefault="00FA7DF6">
      <w:pPr>
        <w:pStyle w:val="Standard"/>
        <w:jc w:val="both"/>
        <w:rPr>
          <w:color w:val="000000"/>
          <w:lang w:val="ru-RU"/>
        </w:rPr>
      </w:pPr>
    </w:p>
    <w:p w:rsidR="00FA7DF6" w:rsidRDefault="00505580">
      <w:pPr>
        <w:pStyle w:val="Standard"/>
        <w:jc w:val="both"/>
        <w:rPr>
          <w:color w:val="000000"/>
          <w:lang w:val="ru-RU"/>
        </w:rPr>
      </w:pPr>
      <w:r>
        <w:rPr>
          <w:color w:val="000000"/>
          <w:lang w:val="ru-RU"/>
        </w:rPr>
        <w:t>Таким образом, международный договор продолжает действовать, пока государство не осуществит действий, отменяющих его на международном уровне, и, соответственно, международные нормы продолжают иметь большую силу, чем нормы национального права в случае их противоречия на уровне национальном.</w:t>
      </w:r>
    </w:p>
    <w:p w:rsidR="00FA7DF6" w:rsidRDefault="00FA7DF6">
      <w:pPr>
        <w:pStyle w:val="Standard"/>
        <w:jc w:val="both"/>
        <w:rPr>
          <w:color w:val="000000"/>
          <w:lang w:val="ru-RU"/>
        </w:rPr>
      </w:pPr>
    </w:p>
    <w:p w:rsidR="00FA7DF6" w:rsidRDefault="00505580">
      <w:pPr>
        <w:pStyle w:val="Standard"/>
        <w:jc w:val="both"/>
        <w:rPr>
          <w:b/>
          <w:bCs/>
          <w:color w:val="000000"/>
          <w:lang w:val="ru-RU"/>
        </w:rPr>
      </w:pPr>
      <w:r>
        <w:rPr>
          <w:b/>
          <w:bCs/>
          <w:color w:val="000000"/>
          <w:lang w:val="ru-RU"/>
        </w:rPr>
        <w:t>Другие источники международного права в иерархии актов внутригосударственного права</w:t>
      </w:r>
    </w:p>
    <w:p w:rsidR="00FA7DF6" w:rsidRDefault="00505580">
      <w:pPr>
        <w:pStyle w:val="Standard"/>
        <w:jc w:val="both"/>
        <w:rPr>
          <w:color w:val="000000"/>
          <w:lang w:val="ru-RU"/>
        </w:rPr>
      </w:pPr>
      <w:r>
        <w:rPr>
          <w:color w:val="000000"/>
          <w:lang w:val="ru-RU"/>
        </w:rPr>
        <w:t>Подробное изучение источников международного парва (Лекция 2) позволит позднее вернуться к вопросу об иерархии внутригосударственного права с учетом международного обычая и общепризнанных принципов права.</w:t>
      </w:r>
    </w:p>
    <w:p w:rsidR="00FA7DF6" w:rsidRDefault="00FA7DF6">
      <w:pPr>
        <w:pStyle w:val="Standard"/>
        <w:jc w:val="both"/>
        <w:rPr>
          <w:color w:val="000000"/>
          <w:lang w:val="ru-RU"/>
        </w:rPr>
      </w:pPr>
    </w:p>
    <w:p w:rsidR="00FA7DF6" w:rsidRDefault="00FA7DF6">
      <w:pPr>
        <w:pStyle w:val="Standard"/>
        <w:jc w:val="both"/>
        <w:rPr>
          <w:bCs/>
          <w:color w:val="0000FF"/>
          <w:lang w:val="ru-RU"/>
        </w:rPr>
      </w:pPr>
    </w:p>
    <w:p w:rsidR="00FA7DF6" w:rsidRDefault="00FA7DF6">
      <w:pPr>
        <w:pStyle w:val="Standard"/>
        <w:jc w:val="both"/>
        <w:rPr>
          <w:color w:val="000000"/>
          <w:lang w:val="ru-RU"/>
        </w:rPr>
      </w:pPr>
      <w:bookmarkStart w:id="0" w:name="_GoBack"/>
      <w:bookmarkEnd w:id="0"/>
    </w:p>
    <w:sectPr w:rsidR="00FA7DF6">
      <w:pgSz w:w="12240" w:h="15840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5FF6" w:rsidRDefault="00505580">
      <w:r>
        <w:separator/>
      </w:r>
    </w:p>
  </w:endnote>
  <w:endnote w:type="continuationSeparator" w:id="0">
    <w:p w:rsidR="00D35FF6" w:rsidRDefault="005055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OpenSymbol, 'Arial Unicode MS'"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OpenSymbol">
    <w:altName w:val="Arial Unicode MS"/>
    <w:charset w:val="00"/>
    <w:family w:val="auto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5FF6" w:rsidRDefault="00505580">
      <w:r>
        <w:rPr>
          <w:color w:val="000000"/>
        </w:rPr>
        <w:separator/>
      </w:r>
    </w:p>
  </w:footnote>
  <w:footnote w:type="continuationSeparator" w:id="0">
    <w:p w:rsidR="00D35FF6" w:rsidRDefault="00505580">
      <w:r>
        <w:continuationSeparator/>
      </w:r>
    </w:p>
  </w:footnote>
  <w:footnote w:id="1">
    <w:p w:rsidR="00FA7DF6" w:rsidRDefault="00505580">
      <w:pPr>
        <w:pStyle w:val="Footnote"/>
      </w:pPr>
      <w:r>
        <w:rPr>
          <w:rStyle w:val="FootnoteReference"/>
        </w:rPr>
        <w:footnoteRef/>
      </w:r>
      <w:r>
        <w:rPr>
          <w:lang w:val="ru-RU"/>
        </w:rPr>
        <w:t>Павлова Л.В. Международное право в правовой системе государств // Бел. журн. международного права и международных отношений. 1999. № 3. С. 3–8.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3011FC"/>
    <w:multiLevelType w:val="multilevel"/>
    <w:tmpl w:val="66B833EE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">
    <w:nsid w:val="12020ACE"/>
    <w:multiLevelType w:val="multilevel"/>
    <w:tmpl w:val="5B4CFDFC"/>
    <w:styleLink w:val="WW8Num17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◦"/>
      <w:lvlJc w:val="left"/>
      <w:rPr>
        <w:rFonts w:ascii="OpenSymbol, 'Arial Unicode MS'" w:hAnsi="OpenSymbol, 'Arial Unicode MS'" w:cs="Courier New"/>
      </w:rPr>
    </w:lvl>
    <w:lvl w:ilvl="2">
      <w:numFmt w:val="bullet"/>
      <w:lvlText w:val="▪"/>
      <w:lvlJc w:val="left"/>
      <w:rPr>
        <w:rFonts w:ascii="OpenSymbol, 'Arial Unicode MS'" w:hAnsi="OpenSymbol, 'Arial Unicode MS'" w:cs="Courier New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◦"/>
      <w:lvlJc w:val="left"/>
      <w:rPr>
        <w:rFonts w:ascii="OpenSymbol, 'Arial Unicode MS'" w:hAnsi="OpenSymbol, 'Arial Unicode MS'" w:cs="Courier New"/>
      </w:rPr>
    </w:lvl>
    <w:lvl w:ilvl="5">
      <w:numFmt w:val="bullet"/>
      <w:lvlText w:val="▪"/>
      <w:lvlJc w:val="left"/>
      <w:rPr>
        <w:rFonts w:ascii="OpenSymbol, 'Arial Unicode MS'" w:hAnsi="OpenSymbol, 'Arial Unicode MS'" w:cs="Courier New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◦"/>
      <w:lvlJc w:val="left"/>
      <w:rPr>
        <w:rFonts w:ascii="OpenSymbol, 'Arial Unicode MS'" w:hAnsi="OpenSymbol, 'Arial Unicode MS'" w:cs="Courier New"/>
      </w:rPr>
    </w:lvl>
    <w:lvl w:ilvl="8">
      <w:numFmt w:val="bullet"/>
      <w:lvlText w:val="▪"/>
      <w:lvlJc w:val="left"/>
      <w:rPr>
        <w:rFonts w:ascii="OpenSymbol, 'Arial Unicode MS'" w:hAnsi="OpenSymbol, 'Arial Unicode MS'" w:cs="Courier New"/>
      </w:rPr>
    </w:lvl>
  </w:abstractNum>
  <w:abstractNum w:abstractNumId="2">
    <w:nsid w:val="1DA85F5F"/>
    <w:multiLevelType w:val="multilevel"/>
    <w:tmpl w:val="00D67566"/>
    <w:styleLink w:val="WW8Num16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◦"/>
      <w:lvlJc w:val="left"/>
      <w:rPr>
        <w:rFonts w:ascii="OpenSymbol, 'Arial Unicode MS'" w:hAnsi="OpenSymbol, 'Arial Unicode MS'" w:cs="Courier New"/>
      </w:rPr>
    </w:lvl>
    <w:lvl w:ilvl="2">
      <w:numFmt w:val="bullet"/>
      <w:lvlText w:val="▪"/>
      <w:lvlJc w:val="left"/>
      <w:rPr>
        <w:rFonts w:ascii="OpenSymbol, 'Arial Unicode MS'" w:hAnsi="OpenSymbol, 'Arial Unicode MS'" w:cs="Courier New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◦"/>
      <w:lvlJc w:val="left"/>
      <w:rPr>
        <w:rFonts w:ascii="OpenSymbol, 'Arial Unicode MS'" w:hAnsi="OpenSymbol, 'Arial Unicode MS'" w:cs="Courier New"/>
      </w:rPr>
    </w:lvl>
    <w:lvl w:ilvl="5">
      <w:numFmt w:val="bullet"/>
      <w:lvlText w:val="▪"/>
      <w:lvlJc w:val="left"/>
      <w:rPr>
        <w:rFonts w:ascii="OpenSymbol, 'Arial Unicode MS'" w:hAnsi="OpenSymbol, 'Arial Unicode MS'" w:cs="Courier New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◦"/>
      <w:lvlJc w:val="left"/>
      <w:rPr>
        <w:rFonts w:ascii="OpenSymbol, 'Arial Unicode MS'" w:hAnsi="OpenSymbol, 'Arial Unicode MS'" w:cs="Courier New"/>
      </w:rPr>
    </w:lvl>
    <w:lvl w:ilvl="8">
      <w:numFmt w:val="bullet"/>
      <w:lvlText w:val="▪"/>
      <w:lvlJc w:val="left"/>
      <w:rPr>
        <w:rFonts w:ascii="OpenSymbol, 'Arial Unicode MS'" w:hAnsi="OpenSymbol, 'Arial Unicode MS'" w:cs="Courier New"/>
      </w:rPr>
    </w:lvl>
  </w:abstractNum>
  <w:abstractNum w:abstractNumId="3">
    <w:nsid w:val="1F814D90"/>
    <w:multiLevelType w:val="multilevel"/>
    <w:tmpl w:val="C64E290A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4">
    <w:nsid w:val="357B5D7B"/>
    <w:multiLevelType w:val="multilevel"/>
    <w:tmpl w:val="051A026A"/>
    <w:styleLink w:val="WW8Num8"/>
    <w:lvl w:ilvl="0">
      <w:numFmt w:val="bullet"/>
      <w:lvlText w:val=""/>
      <w:lvlJc w:val="left"/>
      <w:rPr>
        <w:rFonts w:ascii="Symbol" w:hAnsi="Symbol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5">
    <w:nsid w:val="3CD857C9"/>
    <w:multiLevelType w:val="multilevel"/>
    <w:tmpl w:val="09F8DB20"/>
    <w:styleLink w:val="WW8Num18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◦"/>
      <w:lvlJc w:val="left"/>
      <w:rPr>
        <w:rFonts w:ascii="OpenSymbol, 'Arial Unicode MS'" w:hAnsi="OpenSymbol, 'Arial Unicode MS'" w:cs="OpenSymbol, 'Arial Unicode MS'"/>
      </w:rPr>
    </w:lvl>
    <w:lvl w:ilvl="2">
      <w:numFmt w:val="bullet"/>
      <w:lvlText w:val="▪"/>
      <w:lvlJc w:val="left"/>
      <w:rPr>
        <w:rFonts w:ascii="OpenSymbol, 'Arial Unicode MS'" w:hAnsi="OpenSymbol, 'Arial Unicode MS'" w:cs="OpenSymbol, 'Arial Unicode MS'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◦"/>
      <w:lvlJc w:val="left"/>
      <w:rPr>
        <w:rFonts w:ascii="OpenSymbol, 'Arial Unicode MS'" w:hAnsi="OpenSymbol, 'Arial Unicode MS'" w:cs="OpenSymbol, 'Arial Unicode MS'"/>
      </w:rPr>
    </w:lvl>
    <w:lvl w:ilvl="5">
      <w:numFmt w:val="bullet"/>
      <w:lvlText w:val="▪"/>
      <w:lvlJc w:val="left"/>
      <w:rPr>
        <w:rFonts w:ascii="OpenSymbol, 'Arial Unicode MS'" w:hAnsi="OpenSymbol, 'Arial Unicode MS'" w:cs="OpenSymbol, 'Arial Unicode MS'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◦"/>
      <w:lvlJc w:val="left"/>
      <w:rPr>
        <w:rFonts w:ascii="OpenSymbol, 'Arial Unicode MS'" w:hAnsi="OpenSymbol, 'Arial Unicode MS'" w:cs="OpenSymbol, 'Arial Unicode MS'"/>
      </w:rPr>
    </w:lvl>
    <w:lvl w:ilvl="8">
      <w:numFmt w:val="bullet"/>
      <w:lvlText w:val="▪"/>
      <w:lvlJc w:val="left"/>
      <w:rPr>
        <w:rFonts w:ascii="OpenSymbol, 'Arial Unicode MS'" w:hAnsi="OpenSymbol, 'Arial Unicode MS'" w:cs="OpenSymbol, 'Arial Unicode MS'"/>
      </w:rPr>
    </w:lvl>
  </w:abstractNum>
  <w:abstractNum w:abstractNumId="6">
    <w:nsid w:val="43BA6619"/>
    <w:multiLevelType w:val="multilevel"/>
    <w:tmpl w:val="18969DCA"/>
    <w:styleLink w:val="WW8Num5"/>
    <w:lvl w:ilvl="0">
      <w:start w:val="1"/>
      <w:numFmt w:val="decimal"/>
      <w:lvlText w:val="%1)"/>
      <w:lvlJc w:val="left"/>
      <w:rPr>
        <w:rFonts w:ascii="Symbol" w:hAnsi="Symbol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7">
    <w:nsid w:val="44680257"/>
    <w:multiLevelType w:val="multilevel"/>
    <w:tmpl w:val="EAE84C70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8">
    <w:nsid w:val="56CC0E42"/>
    <w:multiLevelType w:val="multilevel"/>
    <w:tmpl w:val="53ECE91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>
    <w:nsid w:val="6D6B6908"/>
    <w:multiLevelType w:val="multilevel"/>
    <w:tmpl w:val="42DEC7D4"/>
    <w:styleLink w:val="WW8Num6"/>
    <w:lvl w:ilvl="0">
      <w:numFmt w:val="bullet"/>
      <w:lvlText w:val=""/>
      <w:lvlJc w:val="left"/>
      <w:rPr>
        <w:rFonts w:ascii="Symbol" w:hAnsi="Symbol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0">
    <w:nsid w:val="71715C8F"/>
    <w:multiLevelType w:val="multilevel"/>
    <w:tmpl w:val="3CD05BE6"/>
    <w:styleLink w:val="WW8Num4"/>
    <w:lvl w:ilvl="0">
      <w:numFmt w:val="bullet"/>
      <w:lvlText w:val=""/>
      <w:lvlJc w:val="left"/>
      <w:rPr>
        <w:rFonts w:ascii="Symbol" w:hAnsi="Symbol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1">
    <w:nsid w:val="725D2A63"/>
    <w:multiLevelType w:val="multilevel"/>
    <w:tmpl w:val="A5345D28"/>
    <w:styleLink w:val="WW8Num12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2">
    <w:nsid w:val="7CFB026B"/>
    <w:multiLevelType w:val="multilevel"/>
    <w:tmpl w:val="BDC83D64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num w:numId="1">
    <w:abstractNumId w:val="4"/>
  </w:num>
  <w:num w:numId="2">
    <w:abstractNumId w:val="10"/>
  </w:num>
  <w:num w:numId="3">
    <w:abstractNumId w:val="11"/>
  </w:num>
  <w:num w:numId="4">
    <w:abstractNumId w:val="2"/>
  </w:num>
  <w:num w:numId="5">
    <w:abstractNumId w:val="1"/>
  </w:num>
  <w:num w:numId="6">
    <w:abstractNumId w:val="5"/>
  </w:num>
  <w:num w:numId="7">
    <w:abstractNumId w:val="9"/>
  </w:num>
  <w:num w:numId="8">
    <w:abstractNumId w:val="6"/>
  </w:num>
  <w:num w:numId="9">
    <w:abstractNumId w:val="8"/>
  </w:num>
  <w:num w:numId="10">
    <w:abstractNumId w:val="2"/>
  </w:num>
  <w:num w:numId="11">
    <w:abstractNumId w:val="1"/>
  </w:num>
  <w:num w:numId="12">
    <w:abstractNumId w:val="6"/>
    <w:lvlOverride w:ilvl="0">
      <w:startOverride w:val="1"/>
    </w:lvlOverride>
  </w:num>
  <w:num w:numId="13">
    <w:abstractNumId w:val="9"/>
  </w:num>
  <w:num w:numId="14">
    <w:abstractNumId w:val="0"/>
  </w:num>
  <w:num w:numId="15">
    <w:abstractNumId w:val="7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FA7DF6"/>
    <w:rsid w:val="00505580"/>
    <w:rsid w:val="007B349B"/>
    <w:rsid w:val="00D35FF6"/>
    <w:rsid w:val="00F62D37"/>
    <w:rsid w:val="00FA7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SimSun" w:hAnsi="Calibri" w:cs="Mangal"/>
        <w:kern w:val="3"/>
        <w:sz w:val="24"/>
        <w:szCs w:val="24"/>
        <w:lang w:val="en-US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</w:pPr>
  </w:style>
  <w:style w:type="paragraph" w:styleId="Heading1">
    <w:name w:val="heading 1"/>
    <w:basedOn w:val="Standard"/>
    <w:next w:val="Standard"/>
    <w:pPr>
      <w:keepNext/>
      <w:jc w:val="both"/>
      <w:outlineLvl w:val="0"/>
    </w:pPr>
    <w:rPr>
      <w:b/>
      <w:bCs/>
    </w:rPr>
  </w:style>
  <w:style w:type="paragraph" w:styleId="Heading2">
    <w:name w:val="heading 2"/>
    <w:basedOn w:val="Standard"/>
    <w:next w:val="Standard"/>
    <w:pPr>
      <w:keepNext/>
      <w:ind w:right="-451"/>
      <w:jc w:val="both"/>
      <w:outlineLvl w:val="1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styleId="Title">
    <w:name w:val="Title"/>
    <w:basedOn w:val="Standard"/>
    <w:next w:val="Textbody"/>
    <w:pPr>
      <w:keepNext/>
      <w:spacing w:before="240" w:after="120"/>
    </w:pPr>
    <w:rPr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">
    <w:name w:val="List"/>
    <w:basedOn w:val="Textbody"/>
  </w:style>
  <w:style w:type="paragraph" w:styleId="Caption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Footnote">
    <w:name w:val="Footnote"/>
    <w:basedOn w:val="Standard"/>
    <w:pPr>
      <w:suppressLineNumbers/>
      <w:ind w:left="283" w:hanging="283"/>
    </w:pPr>
    <w:rPr>
      <w:sz w:val="20"/>
      <w:szCs w:val="20"/>
    </w:rPr>
  </w:style>
  <w:style w:type="paragraph" w:styleId="FootnoteText">
    <w:name w:val="footnote text"/>
    <w:basedOn w:val="Normal"/>
    <w:rPr>
      <w:sz w:val="20"/>
      <w:szCs w:val="18"/>
    </w:rPr>
  </w:style>
  <w:style w:type="character" w:customStyle="1" w:styleId="WW8Num8z0">
    <w:name w:val="WW8Num8z0"/>
    <w:rPr>
      <w:rFonts w:ascii="Symbol" w:hAnsi="Symbol"/>
    </w:rPr>
  </w:style>
  <w:style w:type="character" w:customStyle="1" w:styleId="WW8Num4z0">
    <w:name w:val="WW8Num4z0"/>
    <w:rPr>
      <w:rFonts w:ascii="Symbol" w:hAnsi="Symbol"/>
    </w:rPr>
  </w:style>
  <w:style w:type="character" w:customStyle="1" w:styleId="FootnoteSymbol">
    <w:name w:val="Footnote Symbol"/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WW8Num16z0">
    <w:name w:val="WW8Num16z0"/>
    <w:rPr>
      <w:rFonts w:ascii="Symbol" w:hAnsi="Symbol"/>
    </w:rPr>
  </w:style>
  <w:style w:type="character" w:customStyle="1" w:styleId="WW8Num16z1">
    <w:name w:val="WW8Num16z1"/>
    <w:rPr>
      <w:rFonts w:ascii="OpenSymbol, 'Arial Unicode MS'" w:hAnsi="OpenSymbol, 'Arial Unicode MS'" w:cs="Courier New"/>
    </w:rPr>
  </w:style>
  <w:style w:type="character" w:customStyle="1" w:styleId="WW8Num17z0">
    <w:name w:val="WW8Num17z0"/>
    <w:rPr>
      <w:rFonts w:ascii="Symbol" w:hAnsi="Symbol"/>
    </w:rPr>
  </w:style>
  <w:style w:type="character" w:customStyle="1" w:styleId="WW8Num17z1">
    <w:name w:val="WW8Num17z1"/>
    <w:rPr>
      <w:rFonts w:ascii="Courier New" w:hAnsi="Courier New" w:cs="Courier New"/>
    </w:rPr>
  </w:style>
  <w:style w:type="character" w:customStyle="1" w:styleId="WW8Num18z0">
    <w:name w:val="WW8Num18z0"/>
    <w:rPr>
      <w:rFonts w:ascii="Symbol" w:hAnsi="Symbol"/>
    </w:rPr>
  </w:style>
  <w:style w:type="character" w:customStyle="1" w:styleId="WW8Num18z1">
    <w:name w:val="WW8Num18z1"/>
    <w:rPr>
      <w:rFonts w:ascii="OpenSymbol, 'Arial Unicode MS'" w:hAnsi="OpenSymbol, 'Arial Unicode MS'" w:cs="OpenSymbol, 'Arial Unicode MS'"/>
    </w:rPr>
  </w:style>
  <w:style w:type="character" w:customStyle="1" w:styleId="WW8Num6z0">
    <w:name w:val="WW8Num6z0"/>
    <w:rPr>
      <w:rFonts w:ascii="Symbol" w:hAnsi="Symbol"/>
    </w:rPr>
  </w:style>
  <w:style w:type="character" w:customStyle="1" w:styleId="WW-FootnoteReference">
    <w:name w:val="WW-Footnote Reference"/>
    <w:rPr>
      <w:position w:val="0"/>
      <w:vertAlign w:val="superscript"/>
    </w:rPr>
  </w:style>
  <w:style w:type="character" w:customStyle="1" w:styleId="WW8Num5z0">
    <w:name w:val="WW8Num5z0"/>
    <w:rPr>
      <w:rFonts w:ascii="Symbol" w:hAnsi="Symbol"/>
    </w:rPr>
  </w:style>
  <w:style w:type="character" w:customStyle="1" w:styleId="NumberingSymbols">
    <w:name w:val="Numbering Symbols"/>
  </w:style>
  <w:style w:type="character" w:customStyle="1" w:styleId="a">
    <w:name w:val="Основной шрифт абзаца"/>
  </w:style>
  <w:style w:type="character" w:customStyle="1" w:styleId="Internetlink">
    <w:name w:val="Internet link"/>
    <w:basedOn w:val="a"/>
    <w:rPr>
      <w:color w:val="0000FF"/>
      <w:u w:val="single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styleId="FootnoteReference">
    <w:name w:val="footnote reference"/>
    <w:basedOn w:val="DefaultParagraphFont"/>
    <w:rPr>
      <w:position w:val="0"/>
      <w:vertAlign w:val="superscript"/>
    </w:rPr>
  </w:style>
  <w:style w:type="character" w:customStyle="1" w:styleId="FootnoteTextChar">
    <w:name w:val="Footnote Text Char"/>
    <w:basedOn w:val="DefaultParagraphFont"/>
    <w:rPr>
      <w:sz w:val="20"/>
      <w:szCs w:val="18"/>
    </w:rPr>
  </w:style>
  <w:style w:type="character" w:customStyle="1" w:styleId="FootnoteCharacters">
    <w:name w:val="Footnote Characters"/>
    <w:rPr>
      <w:position w:val="0"/>
      <w:vertAlign w:val="superscript"/>
    </w:rPr>
  </w:style>
  <w:style w:type="numbering" w:customStyle="1" w:styleId="WW8Num8">
    <w:name w:val="WW8Num8"/>
    <w:basedOn w:val="NoList"/>
    <w:pPr>
      <w:numPr>
        <w:numId w:val="1"/>
      </w:numPr>
    </w:pPr>
  </w:style>
  <w:style w:type="numbering" w:customStyle="1" w:styleId="WW8Num4">
    <w:name w:val="WW8Num4"/>
    <w:basedOn w:val="NoList"/>
    <w:pPr>
      <w:numPr>
        <w:numId w:val="2"/>
      </w:numPr>
    </w:pPr>
  </w:style>
  <w:style w:type="numbering" w:customStyle="1" w:styleId="WW8Num12">
    <w:name w:val="WW8Num12"/>
    <w:basedOn w:val="NoList"/>
    <w:pPr>
      <w:numPr>
        <w:numId w:val="3"/>
      </w:numPr>
    </w:pPr>
  </w:style>
  <w:style w:type="numbering" w:customStyle="1" w:styleId="WW8Num16">
    <w:name w:val="WW8Num16"/>
    <w:basedOn w:val="NoList"/>
    <w:pPr>
      <w:numPr>
        <w:numId w:val="4"/>
      </w:numPr>
    </w:pPr>
  </w:style>
  <w:style w:type="numbering" w:customStyle="1" w:styleId="WW8Num17">
    <w:name w:val="WW8Num17"/>
    <w:basedOn w:val="NoList"/>
    <w:pPr>
      <w:numPr>
        <w:numId w:val="5"/>
      </w:numPr>
    </w:pPr>
  </w:style>
  <w:style w:type="numbering" w:customStyle="1" w:styleId="WW8Num18">
    <w:name w:val="WW8Num18"/>
    <w:basedOn w:val="NoList"/>
    <w:pPr>
      <w:numPr>
        <w:numId w:val="6"/>
      </w:numPr>
    </w:pPr>
  </w:style>
  <w:style w:type="numbering" w:customStyle="1" w:styleId="WW8Num6">
    <w:name w:val="WW8Num6"/>
    <w:basedOn w:val="NoList"/>
    <w:pPr>
      <w:numPr>
        <w:numId w:val="7"/>
      </w:numPr>
    </w:pPr>
  </w:style>
  <w:style w:type="numbering" w:customStyle="1" w:styleId="WW8Num5">
    <w:name w:val="WW8Num5"/>
    <w:basedOn w:val="NoList"/>
    <w:pPr>
      <w:numPr>
        <w:numId w:val="8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SimSun" w:hAnsi="Calibri" w:cs="Mangal"/>
        <w:kern w:val="3"/>
        <w:sz w:val="24"/>
        <w:szCs w:val="24"/>
        <w:lang w:val="en-US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</w:pPr>
  </w:style>
  <w:style w:type="paragraph" w:styleId="Heading1">
    <w:name w:val="heading 1"/>
    <w:basedOn w:val="Standard"/>
    <w:next w:val="Standard"/>
    <w:pPr>
      <w:keepNext/>
      <w:jc w:val="both"/>
      <w:outlineLvl w:val="0"/>
    </w:pPr>
    <w:rPr>
      <w:b/>
      <w:bCs/>
    </w:rPr>
  </w:style>
  <w:style w:type="paragraph" w:styleId="Heading2">
    <w:name w:val="heading 2"/>
    <w:basedOn w:val="Standard"/>
    <w:next w:val="Standard"/>
    <w:pPr>
      <w:keepNext/>
      <w:ind w:right="-451"/>
      <w:jc w:val="both"/>
      <w:outlineLvl w:val="1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styleId="Title">
    <w:name w:val="Title"/>
    <w:basedOn w:val="Standard"/>
    <w:next w:val="Textbody"/>
    <w:pPr>
      <w:keepNext/>
      <w:spacing w:before="240" w:after="120"/>
    </w:pPr>
    <w:rPr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">
    <w:name w:val="List"/>
    <w:basedOn w:val="Textbody"/>
  </w:style>
  <w:style w:type="paragraph" w:styleId="Caption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Footnote">
    <w:name w:val="Footnote"/>
    <w:basedOn w:val="Standard"/>
    <w:pPr>
      <w:suppressLineNumbers/>
      <w:ind w:left="283" w:hanging="283"/>
    </w:pPr>
    <w:rPr>
      <w:sz w:val="20"/>
      <w:szCs w:val="20"/>
    </w:rPr>
  </w:style>
  <w:style w:type="paragraph" w:styleId="FootnoteText">
    <w:name w:val="footnote text"/>
    <w:basedOn w:val="Normal"/>
    <w:rPr>
      <w:sz w:val="20"/>
      <w:szCs w:val="18"/>
    </w:rPr>
  </w:style>
  <w:style w:type="character" w:customStyle="1" w:styleId="WW8Num8z0">
    <w:name w:val="WW8Num8z0"/>
    <w:rPr>
      <w:rFonts w:ascii="Symbol" w:hAnsi="Symbol"/>
    </w:rPr>
  </w:style>
  <w:style w:type="character" w:customStyle="1" w:styleId="WW8Num4z0">
    <w:name w:val="WW8Num4z0"/>
    <w:rPr>
      <w:rFonts w:ascii="Symbol" w:hAnsi="Symbol"/>
    </w:rPr>
  </w:style>
  <w:style w:type="character" w:customStyle="1" w:styleId="FootnoteSymbol">
    <w:name w:val="Footnote Symbol"/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WW8Num16z0">
    <w:name w:val="WW8Num16z0"/>
    <w:rPr>
      <w:rFonts w:ascii="Symbol" w:hAnsi="Symbol"/>
    </w:rPr>
  </w:style>
  <w:style w:type="character" w:customStyle="1" w:styleId="WW8Num16z1">
    <w:name w:val="WW8Num16z1"/>
    <w:rPr>
      <w:rFonts w:ascii="OpenSymbol, 'Arial Unicode MS'" w:hAnsi="OpenSymbol, 'Arial Unicode MS'" w:cs="Courier New"/>
    </w:rPr>
  </w:style>
  <w:style w:type="character" w:customStyle="1" w:styleId="WW8Num17z0">
    <w:name w:val="WW8Num17z0"/>
    <w:rPr>
      <w:rFonts w:ascii="Symbol" w:hAnsi="Symbol"/>
    </w:rPr>
  </w:style>
  <w:style w:type="character" w:customStyle="1" w:styleId="WW8Num17z1">
    <w:name w:val="WW8Num17z1"/>
    <w:rPr>
      <w:rFonts w:ascii="Courier New" w:hAnsi="Courier New" w:cs="Courier New"/>
    </w:rPr>
  </w:style>
  <w:style w:type="character" w:customStyle="1" w:styleId="WW8Num18z0">
    <w:name w:val="WW8Num18z0"/>
    <w:rPr>
      <w:rFonts w:ascii="Symbol" w:hAnsi="Symbol"/>
    </w:rPr>
  </w:style>
  <w:style w:type="character" w:customStyle="1" w:styleId="WW8Num18z1">
    <w:name w:val="WW8Num18z1"/>
    <w:rPr>
      <w:rFonts w:ascii="OpenSymbol, 'Arial Unicode MS'" w:hAnsi="OpenSymbol, 'Arial Unicode MS'" w:cs="OpenSymbol, 'Arial Unicode MS'"/>
    </w:rPr>
  </w:style>
  <w:style w:type="character" w:customStyle="1" w:styleId="WW8Num6z0">
    <w:name w:val="WW8Num6z0"/>
    <w:rPr>
      <w:rFonts w:ascii="Symbol" w:hAnsi="Symbol"/>
    </w:rPr>
  </w:style>
  <w:style w:type="character" w:customStyle="1" w:styleId="WW-FootnoteReference">
    <w:name w:val="WW-Footnote Reference"/>
    <w:rPr>
      <w:position w:val="0"/>
      <w:vertAlign w:val="superscript"/>
    </w:rPr>
  </w:style>
  <w:style w:type="character" w:customStyle="1" w:styleId="WW8Num5z0">
    <w:name w:val="WW8Num5z0"/>
    <w:rPr>
      <w:rFonts w:ascii="Symbol" w:hAnsi="Symbol"/>
    </w:rPr>
  </w:style>
  <w:style w:type="character" w:customStyle="1" w:styleId="NumberingSymbols">
    <w:name w:val="Numbering Symbols"/>
  </w:style>
  <w:style w:type="character" w:customStyle="1" w:styleId="a">
    <w:name w:val="Основной шрифт абзаца"/>
  </w:style>
  <w:style w:type="character" w:customStyle="1" w:styleId="Internetlink">
    <w:name w:val="Internet link"/>
    <w:basedOn w:val="a"/>
    <w:rPr>
      <w:color w:val="0000FF"/>
      <w:u w:val="single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styleId="FootnoteReference">
    <w:name w:val="footnote reference"/>
    <w:basedOn w:val="DefaultParagraphFont"/>
    <w:rPr>
      <w:position w:val="0"/>
      <w:vertAlign w:val="superscript"/>
    </w:rPr>
  </w:style>
  <w:style w:type="character" w:customStyle="1" w:styleId="FootnoteTextChar">
    <w:name w:val="Footnote Text Char"/>
    <w:basedOn w:val="DefaultParagraphFont"/>
    <w:rPr>
      <w:sz w:val="20"/>
      <w:szCs w:val="18"/>
    </w:rPr>
  </w:style>
  <w:style w:type="character" w:customStyle="1" w:styleId="FootnoteCharacters">
    <w:name w:val="Footnote Characters"/>
    <w:rPr>
      <w:position w:val="0"/>
      <w:vertAlign w:val="superscript"/>
    </w:rPr>
  </w:style>
  <w:style w:type="numbering" w:customStyle="1" w:styleId="WW8Num8">
    <w:name w:val="WW8Num8"/>
    <w:basedOn w:val="NoList"/>
    <w:pPr>
      <w:numPr>
        <w:numId w:val="1"/>
      </w:numPr>
    </w:pPr>
  </w:style>
  <w:style w:type="numbering" w:customStyle="1" w:styleId="WW8Num4">
    <w:name w:val="WW8Num4"/>
    <w:basedOn w:val="NoList"/>
    <w:pPr>
      <w:numPr>
        <w:numId w:val="2"/>
      </w:numPr>
    </w:pPr>
  </w:style>
  <w:style w:type="numbering" w:customStyle="1" w:styleId="WW8Num12">
    <w:name w:val="WW8Num12"/>
    <w:basedOn w:val="NoList"/>
    <w:pPr>
      <w:numPr>
        <w:numId w:val="3"/>
      </w:numPr>
    </w:pPr>
  </w:style>
  <w:style w:type="numbering" w:customStyle="1" w:styleId="WW8Num16">
    <w:name w:val="WW8Num16"/>
    <w:basedOn w:val="NoList"/>
    <w:pPr>
      <w:numPr>
        <w:numId w:val="4"/>
      </w:numPr>
    </w:pPr>
  </w:style>
  <w:style w:type="numbering" w:customStyle="1" w:styleId="WW8Num17">
    <w:name w:val="WW8Num17"/>
    <w:basedOn w:val="NoList"/>
    <w:pPr>
      <w:numPr>
        <w:numId w:val="5"/>
      </w:numPr>
    </w:pPr>
  </w:style>
  <w:style w:type="numbering" w:customStyle="1" w:styleId="WW8Num18">
    <w:name w:val="WW8Num18"/>
    <w:basedOn w:val="NoList"/>
    <w:pPr>
      <w:numPr>
        <w:numId w:val="6"/>
      </w:numPr>
    </w:pPr>
  </w:style>
  <w:style w:type="numbering" w:customStyle="1" w:styleId="WW8Num6">
    <w:name w:val="WW8Num6"/>
    <w:basedOn w:val="NoList"/>
    <w:pPr>
      <w:numPr>
        <w:numId w:val="7"/>
      </w:numPr>
    </w:pPr>
  </w:style>
  <w:style w:type="numbering" w:customStyle="1" w:styleId="WW8Num5">
    <w:name w:val="WW8Num5"/>
    <w:basedOn w:val="NoList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431</Words>
  <Characters>2288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Liudmila Ulyashyna</dc:creator>
  <cp:lastModifiedBy>Liudmila Ulyashyna</cp:lastModifiedBy>
  <cp:revision>2</cp:revision>
  <dcterms:created xsi:type="dcterms:W3CDTF">2012-05-23T16:20:00Z</dcterms:created>
  <dcterms:modified xsi:type="dcterms:W3CDTF">2012-05-23T16:20:00Z</dcterms:modified>
</cp:coreProperties>
</file>