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BD053" w14:textId="704078D5" w:rsidR="00A20322" w:rsidRDefault="00A20322" w:rsidP="00A20322">
      <w:pPr>
        <w:jc w:val="both"/>
        <w:rPr>
          <w:rFonts w:ascii="Times New Roman" w:hAnsi="Times New Roman" w:cs="Times New Roman"/>
          <w:sz w:val="28"/>
          <w:szCs w:val="28"/>
        </w:rPr>
      </w:pPr>
      <w:r>
        <w:rPr>
          <w:rFonts w:ascii="Times New Roman" w:hAnsi="Times New Roman" w:cs="Times New Roman"/>
          <w:sz w:val="28"/>
          <w:szCs w:val="28"/>
        </w:rPr>
        <w:t>Ниже приведены</w:t>
      </w:r>
      <w:r w:rsidR="00B972F3">
        <w:rPr>
          <w:rFonts w:ascii="Times New Roman" w:hAnsi="Times New Roman" w:cs="Times New Roman"/>
          <w:sz w:val="28"/>
          <w:szCs w:val="28"/>
        </w:rPr>
        <w:t xml:space="preserve"> выполненные мной</w:t>
      </w:r>
      <w:r>
        <w:rPr>
          <w:rFonts w:ascii="Times New Roman" w:hAnsi="Times New Roman" w:cs="Times New Roman"/>
          <w:sz w:val="28"/>
          <w:szCs w:val="28"/>
        </w:rPr>
        <w:t xml:space="preserve"> олимпиадные задания в области письменного русско-китайского перевода. Страницы 2-5 содержат условия заданий, </w:t>
      </w:r>
      <w:r w:rsidR="00E72073">
        <w:rPr>
          <w:rFonts w:ascii="Times New Roman" w:hAnsi="Times New Roman" w:cs="Times New Roman"/>
          <w:sz w:val="28"/>
          <w:szCs w:val="28"/>
        </w:rPr>
        <w:t>страницы 6</w:t>
      </w:r>
      <w:bookmarkStart w:id="0" w:name="_GoBack"/>
      <w:bookmarkEnd w:id="0"/>
      <w:r w:rsidR="008F4C77">
        <w:rPr>
          <w:rFonts w:ascii="Times New Roman" w:hAnsi="Times New Roman" w:cs="Times New Roman"/>
          <w:sz w:val="28"/>
          <w:szCs w:val="28"/>
        </w:rPr>
        <w:t>-8 содержат ответы на задания.</w:t>
      </w:r>
      <w:r w:rsidR="002000A2">
        <w:rPr>
          <w:rFonts w:ascii="Times New Roman" w:hAnsi="Times New Roman" w:cs="Times New Roman"/>
          <w:sz w:val="28"/>
          <w:szCs w:val="28"/>
        </w:rPr>
        <w:t xml:space="preserve"> Страниц</w:t>
      </w:r>
      <w:r w:rsidR="00C777E8">
        <w:rPr>
          <w:rFonts w:ascii="Times New Roman" w:hAnsi="Times New Roman" w:cs="Times New Roman"/>
          <w:sz w:val="28"/>
          <w:szCs w:val="28"/>
        </w:rPr>
        <w:t>ы</w:t>
      </w:r>
      <w:r w:rsidR="002000A2">
        <w:rPr>
          <w:rFonts w:ascii="Times New Roman" w:hAnsi="Times New Roman" w:cs="Times New Roman"/>
          <w:sz w:val="28"/>
          <w:szCs w:val="28"/>
        </w:rPr>
        <w:t xml:space="preserve"> 9</w:t>
      </w:r>
      <w:r w:rsidR="00C777E8">
        <w:rPr>
          <w:rFonts w:ascii="Times New Roman" w:hAnsi="Times New Roman" w:cs="Times New Roman"/>
          <w:sz w:val="28"/>
          <w:szCs w:val="28"/>
        </w:rPr>
        <w:t>-10</w:t>
      </w:r>
      <w:r w:rsidR="002000A2">
        <w:rPr>
          <w:rFonts w:ascii="Times New Roman" w:hAnsi="Times New Roman" w:cs="Times New Roman"/>
          <w:sz w:val="28"/>
          <w:szCs w:val="28"/>
        </w:rPr>
        <w:t xml:space="preserve"> содерж</w:t>
      </w:r>
      <w:r w:rsidR="00C777E8">
        <w:rPr>
          <w:rFonts w:ascii="Times New Roman" w:hAnsi="Times New Roman" w:cs="Times New Roman"/>
          <w:sz w:val="28"/>
          <w:szCs w:val="28"/>
        </w:rPr>
        <w:t>а</w:t>
      </w:r>
      <w:r w:rsidR="002000A2">
        <w:rPr>
          <w:rFonts w:ascii="Times New Roman" w:hAnsi="Times New Roman" w:cs="Times New Roman"/>
          <w:sz w:val="28"/>
          <w:szCs w:val="28"/>
        </w:rPr>
        <w:t xml:space="preserve">т результат участия в </w:t>
      </w:r>
      <w:r w:rsidR="00C777E8">
        <w:rPr>
          <w:rFonts w:ascii="Times New Roman" w:hAnsi="Times New Roman" w:cs="Times New Roman"/>
          <w:sz w:val="28"/>
          <w:szCs w:val="28"/>
        </w:rPr>
        <w:t>письменном</w:t>
      </w:r>
      <w:r w:rsidR="002000A2">
        <w:rPr>
          <w:rFonts w:ascii="Times New Roman" w:hAnsi="Times New Roman" w:cs="Times New Roman"/>
          <w:sz w:val="28"/>
          <w:szCs w:val="28"/>
        </w:rPr>
        <w:t xml:space="preserve"> этапе конкурса.</w:t>
      </w:r>
    </w:p>
    <w:p w14:paraId="518AC27A" w14:textId="77777777" w:rsidR="00A20322" w:rsidRDefault="00A20322">
      <w:pPr>
        <w:rPr>
          <w:rFonts w:ascii="Times New Roman" w:hAnsi="Times New Roman" w:cs="Times New Roman"/>
          <w:sz w:val="28"/>
          <w:szCs w:val="28"/>
        </w:rPr>
      </w:pPr>
      <w:r>
        <w:rPr>
          <w:rFonts w:ascii="Times New Roman" w:hAnsi="Times New Roman" w:cs="Times New Roman"/>
          <w:sz w:val="28"/>
          <w:szCs w:val="28"/>
        </w:rPr>
        <w:br w:type="page"/>
      </w:r>
    </w:p>
    <w:p w14:paraId="4156FFD1" w14:textId="77777777" w:rsidR="00A20322" w:rsidRDefault="00A20322" w:rsidP="00A20322">
      <w:pPr>
        <w:jc w:val="both"/>
        <w:rPr>
          <w:rFonts w:ascii="Times New Roman" w:hAnsi="Times New Roman" w:cs="Times New Roman"/>
          <w:sz w:val="28"/>
          <w:szCs w:val="28"/>
        </w:rPr>
      </w:pPr>
    </w:p>
    <w:p w14:paraId="0C42D60B" w14:textId="77777777" w:rsidR="00A20322" w:rsidRDefault="00A20322" w:rsidP="0006296F">
      <w:pPr>
        <w:jc w:val="center"/>
        <w:rPr>
          <w:rFonts w:ascii="Times New Roman" w:hAnsi="Times New Roman" w:cs="Times New Roman"/>
          <w:sz w:val="28"/>
          <w:szCs w:val="28"/>
        </w:rPr>
      </w:pPr>
    </w:p>
    <w:p w14:paraId="0E562BB8" w14:textId="3CE3DA84" w:rsidR="0006296F" w:rsidRDefault="0006296F" w:rsidP="0006296F">
      <w:pPr>
        <w:jc w:val="center"/>
        <w:rPr>
          <w:rFonts w:ascii="Times New Roman" w:hAnsi="Times New Roman" w:cs="Times New Roman"/>
          <w:sz w:val="28"/>
          <w:szCs w:val="28"/>
        </w:rPr>
      </w:pPr>
      <w:r>
        <w:rPr>
          <w:rFonts w:ascii="Times New Roman" w:hAnsi="Times New Roman" w:cs="Times New Roman"/>
          <w:sz w:val="28"/>
          <w:szCs w:val="28"/>
        </w:rPr>
        <w:t xml:space="preserve">Задание </w:t>
      </w:r>
      <w:r w:rsidR="00D64C29">
        <w:rPr>
          <w:rFonts w:ascii="Times New Roman" w:hAnsi="Times New Roman" w:cs="Times New Roman"/>
          <w:sz w:val="28"/>
          <w:szCs w:val="28"/>
        </w:rPr>
        <w:t>1</w:t>
      </w:r>
    </w:p>
    <w:p w14:paraId="29944605" w14:textId="1AD7DD88" w:rsidR="0006296F" w:rsidRPr="0006296F" w:rsidRDefault="0006296F" w:rsidP="0006296F">
      <w:pPr>
        <w:jc w:val="center"/>
        <w:rPr>
          <w:rFonts w:ascii="Times New Roman" w:hAnsi="Times New Roman" w:cs="Times New Roman"/>
          <w:sz w:val="28"/>
          <w:szCs w:val="28"/>
        </w:rPr>
      </w:pPr>
      <w:r>
        <w:rPr>
          <w:rFonts w:ascii="Times New Roman" w:hAnsi="Times New Roman" w:cs="Times New Roman"/>
          <w:sz w:val="28"/>
          <w:szCs w:val="28"/>
        </w:rPr>
        <w:t>Выполните письменный перевод текста с китайского языка на русский:</w:t>
      </w:r>
    </w:p>
    <w:p w14:paraId="37C8126D" w14:textId="19B0AE9D" w:rsidR="00814507" w:rsidRDefault="00C31632" w:rsidP="00C31632">
      <w:pPr>
        <w:pStyle w:val="a3"/>
        <w:spacing w:line="360" w:lineRule="auto"/>
        <w:ind w:firstLine="709"/>
        <w:jc w:val="center"/>
        <w:rPr>
          <w:rFonts w:ascii="SimSun" w:eastAsia="SimSun" w:hAnsi="SimSun"/>
          <w:sz w:val="28"/>
          <w:szCs w:val="28"/>
        </w:rPr>
      </w:pPr>
      <w:r w:rsidRPr="00C31632">
        <w:rPr>
          <w:rFonts w:ascii="SimSun" w:eastAsia="SimSun" w:hAnsi="SimSun" w:hint="eastAsia"/>
          <w:sz w:val="28"/>
          <w:szCs w:val="28"/>
        </w:rPr>
        <w:t>普京讲话为俄外交划定新“路线图”，评价中俄关系堪称典范</w:t>
      </w:r>
    </w:p>
    <w:p w14:paraId="7C86C811" w14:textId="77777777" w:rsidR="00C31632" w:rsidRPr="00C31632" w:rsidRDefault="00C31632" w:rsidP="00C31632">
      <w:pPr>
        <w:pStyle w:val="a3"/>
        <w:spacing w:line="360" w:lineRule="auto"/>
        <w:ind w:firstLine="709"/>
        <w:jc w:val="both"/>
        <w:rPr>
          <w:rFonts w:ascii="SimSun" w:eastAsia="SimSun" w:hAnsi="SimSun"/>
          <w:sz w:val="28"/>
          <w:szCs w:val="28"/>
        </w:rPr>
      </w:pPr>
      <w:r w:rsidRPr="00C31632">
        <w:rPr>
          <w:rFonts w:ascii="SimSun" w:eastAsia="SimSun" w:hAnsi="SimSun" w:hint="eastAsia"/>
          <w:sz w:val="28"/>
          <w:szCs w:val="28"/>
        </w:rPr>
        <w:t>俄罗斯总统普京18日出席俄外交部部务委员会扩大会议并发表讲话，对当前俄罗斯面临的国际和地区热点问题，以及今后俄对外政策的优先发展方向进行了阐述。俄媒评论称，普京的这次讲话可以视为正在制定中的新版《俄罗斯外交政策构想》的主要内容，为俄外交政策划定新的“路线图”。</w:t>
      </w:r>
    </w:p>
    <w:p w14:paraId="59B62444" w14:textId="6E91AE74" w:rsidR="00C31632" w:rsidRDefault="00C31632" w:rsidP="00C31632">
      <w:pPr>
        <w:pStyle w:val="a3"/>
        <w:spacing w:line="360" w:lineRule="auto"/>
        <w:ind w:firstLine="709"/>
        <w:jc w:val="both"/>
        <w:rPr>
          <w:rFonts w:ascii="SimSun" w:eastAsia="SimSun" w:hAnsi="SimSun"/>
          <w:sz w:val="28"/>
          <w:szCs w:val="28"/>
        </w:rPr>
      </w:pPr>
      <w:r w:rsidRPr="00C31632">
        <w:rPr>
          <w:rFonts w:ascii="SimSun" w:eastAsia="SimSun" w:hAnsi="SimSun" w:hint="eastAsia"/>
          <w:sz w:val="28"/>
          <w:szCs w:val="28"/>
        </w:rPr>
        <w:t>据俄新社19日报道，普京在讲话中按照地区、国别以及国际组织的类别，对俄罗斯发展外交关系的考虑进行了系统阐述。其中，普京将中国排在这部分内容的首位，并给予极高评价，充分显示出俄中关系在俄罗斯外交政策中的重要性。</w:t>
      </w:r>
    </w:p>
    <w:p w14:paraId="0155E3E7" w14:textId="1E780CA9" w:rsidR="006D422D" w:rsidRPr="006D422D" w:rsidRDefault="006D422D" w:rsidP="006D422D">
      <w:pPr>
        <w:pStyle w:val="a3"/>
        <w:spacing w:line="360" w:lineRule="auto"/>
        <w:ind w:firstLine="709"/>
        <w:jc w:val="both"/>
        <w:rPr>
          <w:rFonts w:eastAsia="SimSun"/>
          <w:sz w:val="28"/>
          <w:szCs w:val="28"/>
        </w:rPr>
      </w:pPr>
      <w:r w:rsidRPr="006D422D">
        <w:rPr>
          <w:rFonts w:ascii="SimSun" w:eastAsia="SimSun" w:hAnsi="SimSun" w:hint="eastAsia"/>
          <w:sz w:val="28"/>
          <w:szCs w:val="28"/>
        </w:rPr>
        <w:t>普京称，俄中双边关系现在达到历史最高水平，具有全面战略伙伴关系的性质，堪称21世纪国家间高效协作的典范。普京表示：“当然，并不是每个人都喜欢这一点。一些西方伙伴公开试图在莫斯科和北京之间制造楔子。我们对此非常清楚。我们将与我们的中国朋友一起继续扩大在政治、经济和其他领域的合作，加强在国际舞台上的协调行动。”普京还指出，应深化上海合作组织伙伴关系，深化金砖国家发展合作。</w:t>
      </w:r>
    </w:p>
    <w:p w14:paraId="5714B450" w14:textId="20E2AC74" w:rsidR="006D422D" w:rsidRPr="006D422D" w:rsidRDefault="006D422D" w:rsidP="006D422D">
      <w:pPr>
        <w:pStyle w:val="a3"/>
        <w:spacing w:line="360" w:lineRule="auto"/>
        <w:ind w:firstLine="709"/>
        <w:jc w:val="both"/>
        <w:rPr>
          <w:rFonts w:ascii="SimSun" w:eastAsia="SimSun" w:hAnsi="SimSun"/>
          <w:sz w:val="28"/>
          <w:szCs w:val="28"/>
        </w:rPr>
      </w:pPr>
      <w:r w:rsidRPr="006D422D">
        <w:rPr>
          <w:rFonts w:ascii="SimSun" w:eastAsia="SimSun" w:hAnsi="SimSun" w:hint="eastAsia"/>
          <w:sz w:val="28"/>
          <w:szCs w:val="28"/>
        </w:rPr>
        <w:t>对于俄美关系，普京表示，目前状况“不尽如人意”。两国外交官都面临着巨大挑战，被裁减人员的使领馆无法正常运作，更谈不上系统地参与双边关系发展。“这些都是美国走挑衅路线的后果”。他指出，美方扣押俄方在美资产严重违反所有国际规范和规则。“《维也纳外交关系公约》哪去了？我们生活在一个看似文明的世界，但事实并非如此。”普京同时表示，俄美元首6月日内瓦峰会为双方对话和逐步调整关系提供了机会，双方在战略稳定和信息安全问题上已开始联合工作。尽管俄美在许多双边和国际问题上存在分歧，但俄方愿与美方接触和交换意见，进行建设性对话。</w:t>
      </w:r>
    </w:p>
    <w:p w14:paraId="50563F06" w14:textId="77777777" w:rsidR="006D422D" w:rsidRPr="006D422D" w:rsidRDefault="006D422D" w:rsidP="006D422D">
      <w:pPr>
        <w:pStyle w:val="a3"/>
        <w:spacing w:line="360" w:lineRule="auto"/>
        <w:ind w:firstLine="709"/>
        <w:jc w:val="both"/>
        <w:rPr>
          <w:rFonts w:ascii="SimSun" w:eastAsia="SimSun" w:hAnsi="SimSun"/>
          <w:sz w:val="28"/>
          <w:szCs w:val="28"/>
        </w:rPr>
      </w:pPr>
    </w:p>
    <w:p w14:paraId="3B36E372" w14:textId="48FFF79E" w:rsidR="006D422D" w:rsidRPr="006D422D" w:rsidRDefault="006D422D" w:rsidP="006D422D">
      <w:pPr>
        <w:pStyle w:val="a3"/>
        <w:spacing w:line="360" w:lineRule="auto"/>
        <w:ind w:firstLine="709"/>
        <w:jc w:val="both"/>
        <w:rPr>
          <w:rFonts w:eastAsia="SimSun"/>
          <w:sz w:val="28"/>
          <w:szCs w:val="28"/>
        </w:rPr>
      </w:pPr>
      <w:r w:rsidRPr="006D422D">
        <w:rPr>
          <w:rFonts w:ascii="SimSun" w:eastAsia="SimSun" w:hAnsi="SimSun" w:hint="eastAsia"/>
          <w:sz w:val="28"/>
          <w:szCs w:val="28"/>
        </w:rPr>
        <w:t>谈及欧洲事务，普京遗憾地表示，俄罗斯与欧盟的合作空间持续缩小，“尽管欧盟仍然是我们的主要贸易和经济伙伴，但此前颇有成效的俄欧合作目前正面临重大困难。”他说，欧盟继续以制裁、不友好的行动和毫无根据的指责攻击俄罗斯，却忽视了政治、经济和文化等领域互动带来的益处，“俄罗斯有兴趣与欧洲国家保持睦邻友好和建设性的关系，但一切都取决于我们的伙伴是否愿意建立和维持平等与相互尊重的合作。”</w:t>
      </w:r>
    </w:p>
    <w:p w14:paraId="45F78A9B" w14:textId="7942929A" w:rsidR="006D422D" w:rsidRPr="006D422D" w:rsidRDefault="006D422D" w:rsidP="006D422D">
      <w:pPr>
        <w:pStyle w:val="a3"/>
        <w:spacing w:line="360" w:lineRule="auto"/>
        <w:ind w:firstLine="709"/>
        <w:jc w:val="both"/>
        <w:rPr>
          <w:rFonts w:eastAsia="SimSun"/>
          <w:sz w:val="28"/>
          <w:szCs w:val="28"/>
        </w:rPr>
      </w:pPr>
      <w:r w:rsidRPr="006D422D">
        <w:rPr>
          <w:rFonts w:ascii="SimSun" w:eastAsia="SimSun" w:hAnsi="SimSun" w:hint="eastAsia"/>
          <w:sz w:val="28"/>
          <w:szCs w:val="28"/>
        </w:rPr>
        <w:t>普京称，北约对俄罗斯采取“明显的对抗立场”，持续将其军事设施靠近俄罗斯边界，破坏双方的对话机制。“并不是我们急于同他们合作……他们已经发出了想合作的信号，但为什么这样无缘无故驱逐我们的外交官？”普京强调，俄罗斯将继续保持对北约东扩的警告，“以便他们不会在我们的西部边界上为我们安排某种我们不需要的冲突”。</w:t>
      </w:r>
    </w:p>
    <w:p w14:paraId="78B0BDFB" w14:textId="198AFCB2" w:rsidR="006D422D" w:rsidRPr="006D422D" w:rsidRDefault="006D422D" w:rsidP="006D422D">
      <w:pPr>
        <w:pStyle w:val="a3"/>
        <w:spacing w:line="360" w:lineRule="auto"/>
        <w:ind w:firstLine="709"/>
        <w:jc w:val="both"/>
        <w:rPr>
          <w:rFonts w:eastAsia="SimSun"/>
          <w:sz w:val="28"/>
          <w:szCs w:val="28"/>
        </w:rPr>
      </w:pPr>
      <w:r w:rsidRPr="006D422D">
        <w:rPr>
          <w:rFonts w:ascii="SimSun" w:eastAsia="SimSun" w:hAnsi="SimSun" w:hint="eastAsia"/>
          <w:sz w:val="28"/>
          <w:szCs w:val="28"/>
        </w:rPr>
        <w:t>普京说，西方国家在黑海海域的行为已经出格了，战略轰炸机在距离俄罗斯边境20公里的地方飞行，还可能携带战略武器。普京说，西方国家加剧紧张局势的行为不只在黑海地区，在其他靠近俄罗斯边境的地区也在进行。对此俄一直在表达关切，并划出红线，“但是我们的伙伴依然我行我素。说得客气一点，他们对我们的警告和红线不屑一顾”。</w:t>
      </w:r>
    </w:p>
    <w:p w14:paraId="65DE83A9" w14:textId="7F308E38" w:rsidR="006D422D" w:rsidRPr="00C31632" w:rsidRDefault="006D422D" w:rsidP="006D422D">
      <w:pPr>
        <w:pStyle w:val="a3"/>
        <w:spacing w:line="360" w:lineRule="auto"/>
        <w:ind w:firstLine="709"/>
        <w:jc w:val="both"/>
        <w:rPr>
          <w:rFonts w:ascii="SimSun" w:eastAsia="SimSun" w:hAnsi="SimSun"/>
          <w:sz w:val="28"/>
          <w:szCs w:val="28"/>
        </w:rPr>
      </w:pPr>
      <w:r w:rsidRPr="006D422D">
        <w:rPr>
          <w:rFonts w:ascii="SimSun" w:eastAsia="SimSun" w:hAnsi="SimSun" w:hint="eastAsia"/>
          <w:sz w:val="28"/>
          <w:szCs w:val="28"/>
        </w:rPr>
        <w:t>普京指出，西方国家正在利用白俄罗斯与波兰边境地区的难民危机兴风作浪，并对白俄罗斯施压。“他们（波兰边防部队）在那里使用水炮和催泪瓦斯，在那里扔手榴弹。我首先想到的是：那里有很多儿童，西方国家正在忘记自己在人道主义领域的义务。”普京说，俄将继续加强与白方的联系并深化一体化进程政策，双方将实施最近通过的关于建立共同经济空间的28个行业一体化计划，继续推行协调一致的宏观经济、税收、银行和信贷政策等。</w:t>
      </w:r>
    </w:p>
    <w:p w14:paraId="2A277EE6" w14:textId="4C855757" w:rsidR="00D64C29" w:rsidRDefault="00D64C29">
      <w:pPr>
        <w:rPr>
          <w:rFonts w:eastAsia="SimSun"/>
          <w:sz w:val="28"/>
          <w:szCs w:val="28"/>
        </w:rPr>
      </w:pPr>
      <w:r>
        <w:rPr>
          <w:rFonts w:eastAsia="SimSun"/>
          <w:sz w:val="28"/>
          <w:szCs w:val="28"/>
        </w:rPr>
        <w:br w:type="page"/>
      </w:r>
    </w:p>
    <w:p w14:paraId="3B5FDEDC" w14:textId="7678E7EB" w:rsidR="00D64C29" w:rsidRDefault="00D64C29" w:rsidP="00D64C29">
      <w:pPr>
        <w:jc w:val="center"/>
        <w:rPr>
          <w:rFonts w:ascii="Times New Roman" w:hAnsi="Times New Roman" w:cs="Times New Roman"/>
          <w:sz w:val="28"/>
          <w:szCs w:val="28"/>
        </w:rPr>
      </w:pPr>
      <w:r>
        <w:rPr>
          <w:rFonts w:ascii="Times New Roman" w:hAnsi="Times New Roman" w:cs="Times New Roman"/>
          <w:sz w:val="28"/>
          <w:szCs w:val="28"/>
        </w:rPr>
        <w:lastRenderedPageBreak/>
        <w:t>Задание 2</w:t>
      </w:r>
    </w:p>
    <w:p w14:paraId="67F57E5A" w14:textId="77777777" w:rsidR="00D64C29" w:rsidRDefault="00D64C29" w:rsidP="00D64C29">
      <w:pPr>
        <w:jc w:val="center"/>
        <w:rPr>
          <w:rFonts w:ascii="Times New Roman" w:hAnsi="Times New Roman" w:cs="Times New Roman"/>
          <w:sz w:val="28"/>
          <w:szCs w:val="28"/>
        </w:rPr>
      </w:pPr>
      <w:r>
        <w:rPr>
          <w:rFonts w:ascii="Times New Roman" w:hAnsi="Times New Roman" w:cs="Times New Roman"/>
          <w:sz w:val="28"/>
          <w:szCs w:val="28"/>
        </w:rPr>
        <w:t>Письменно переведите текст на китайский язык:</w:t>
      </w:r>
    </w:p>
    <w:p w14:paraId="4FFD3A21" w14:textId="77777777" w:rsidR="00D64C29" w:rsidRDefault="00D64C29" w:rsidP="00D64C29">
      <w:pPr>
        <w:jc w:val="center"/>
        <w:rPr>
          <w:rFonts w:ascii="Times New Roman" w:hAnsi="Times New Roman" w:cs="Times New Roman"/>
          <w:sz w:val="28"/>
          <w:szCs w:val="28"/>
        </w:rPr>
      </w:pPr>
      <w:r w:rsidRPr="0061252F">
        <w:rPr>
          <w:rFonts w:ascii="Times New Roman" w:hAnsi="Times New Roman" w:cs="Times New Roman"/>
          <w:sz w:val="28"/>
          <w:szCs w:val="28"/>
        </w:rPr>
        <w:t>Федеральное собрание</w:t>
      </w:r>
    </w:p>
    <w:p w14:paraId="40ABF25C"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Федеральное собрание Российской Федерации — парламент Российской Федерации, представительный и законодательный орган государственной власти России.</w:t>
      </w:r>
    </w:p>
    <w:p w14:paraId="1F7D7C41"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Статус Федерального собрания определён в главе 5 Конституции России. Функции и полномочия Федерального собрания распределены между двумя палатами — Государственной думой (нижняя палата Федерального собрания Российской Федерации) и Советом Федерации (верхняя палата Федерального собрания Российской Федерации). Федеральное собрание является постоянно действующим органом. Палаты заседают раздельно, но могут собираться совместно для заслушивания посланий президента Российской Федерации.</w:t>
      </w:r>
    </w:p>
    <w:p w14:paraId="2C14925F"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Федеральное собрание состоит из двух палат: Государственной думы и Совета Федерации.</w:t>
      </w:r>
    </w:p>
    <w:p w14:paraId="2C40084D"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Состав палат, как и принципы их комплектования, различен. Государственная дума состоит из 450 депутатов, выбираемых на прямых выборах. В Совет Федерации входят по два представителя от каждого субъекта России: по одному от представительного и исполнительного органов государственной власти (в Российской Федерации 85 субъектов, следовательно, 170 членов Совета Федерации); также в Совет Федерации входят представители Российской Федерации, назначаемые президентом, число которых составляет не более 30 человек, из них не более семи могут быть назначены пожизненно. Также право на пожизненное место в Совете Федерации получают бывшие президенты России.</w:t>
      </w:r>
    </w:p>
    <w:p w14:paraId="2F8B37E2"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Государственная дума избирается на конституционно установленный срок — пять лет, а Совет Федерации установленного срока своей легислатуры не имеет, но при этом члены Совета Федерации — представители от субъектов Российской Федерации — наделяются полномочиями на срок полномочий соответствующего органа государственной власти субъекта Российской Федерации. Как порядок формирования Совета Федерации, так и порядок выборов депутатов Государственной думы устанавливается федеральными законами. Одно и то же лицо не может одновременно являться членом Совета Федерации и депутатом Государственной думы.</w:t>
      </w:r>
    </w:p>
    <w:p w14:paraId="0AEB9EA3"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Совет Федерации представляет собой «палату регионов», в которой представители регионов представляют их интересы на федеральном уровне, что отражает федеративный принцип российского государства. Совет Федерации является постоянно действующим органом. В отличие от Государственной думы, Совет Федерации не может быть распущен президентом. Его заседания проводятся по мере необходимости, но не реже двух раз в месяц. Заседания Совета Федерации являются основной формой работы палаты.</w:t>
      </w:r>
    </w:p>
    <w:p w14:paraId="0C319C46" w14:textId="72499EDC"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lastRenderedPageBreak/>
        <w:t>Сенаторы обладают неприкосновенностью в течение всего срока их полномочий. Они не могут быть арестованы</w:t>
      </w:r>
      <w:r>
        <w:rPr>
          <w:rFonts w:ascii="Times New Roman" w:hAnsi="Times New Roman" w:cs="Times New Roman"/>
          <w:sz w:val="28"/>
          <w:szCs w:val="28"/>
        </w:rPr>
        <w:t xml:space="preserve"> или подвергнуты судебному преследованию</w:t>
      </w:r>
      <w:r w:rsidRPr="00D64C29">
        <w:rPr>
          <w:rFonts w:ascii="Times New Roman" w:hAnsi="Times New Roman" w:cs="Times New Roman"/>
          <w:sz w:val="28"/>
          <w:szCs w:val="28"/>
        </w:rPr>
        <w:t>.</w:t>
      </w:r>
    </w:p>
    <w:p w14:paraId="6644E0BA"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По вопросам, отнесённым к его ведению Конституцией Российской Федерации, Совет Федерации принимает постановления, которые принимаются большинством голосов от общего числа сенаторов, если иной порядок принятия решений не предусмотрен Конституцией Российской Федерации.</w:t>
      </w:r>
    </w:p>
    <w:p w14:paraId="7B6E1B5B" w14:textId="77777777" w:rsidR="00D64C29" w:rsidRPr="00D64C29"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В области законотворчества Совет Федерации занимает по отношению к Государственной думе подчинённую роль. Любые законы сначала вносятся в Государственную думу, и лишь после одобрения нижней палатой поступают на рассмотрение Совета Федерации.</w:t>
      </w:r>
    </w:p>
    <w:p w14:paraId="327486B0" w14:textId="267D057D" w:rsidR="00A20322" w:rsidRDefault="00D64C29" w:rsidP="00D64C29">
      <w:pPr>
        <w:pStyle w:val="a3"/>
        <w:ind w:firstLine="709"/>
        <w:jc w:val="both"/>
        <w:rPr>
          <w:rFonts w:ascii="Times New Roman" w:hAnsi="Times New Roman" w:cs="Times New Roman"/>
          <w:sz w:val="28"/>
          <w:szCs w:val="28"/>
        </w:rPr>
      </w:pPr>
      <w:r w:rsidRPr="00D64C29">
        <w:rPr>
          <w:rFonts w:ascii="Times New Roman" w:hAnsi="Times New Roman" w:cs="Times New Roman"/>
          <w:sz w:val="28"/>
          <w:szCs w:val="28"/>
        </w:rPr>
        <w:t>При рассмотрении принятых Государственной думой законов Совет Федерации не имеет права внесения поправок, а может либо одобрить, либо отклонить закон в целом. Федеральный закон считается одобренным Советом Федерации, если за него проголосовало более половины от общего числа членов этой палаты либо если в течение четырнадцати дней он не был рассмотрен Советом Федерации.</w:t>
      </w:r>
    </w:p>
    <w:p w14:paraId="25485385" w14:textId="77777777" w:rsidR="00A20322" w:rsidRDefault="00A20322">
      <w:pPr>
        <w:rPr>
          <w:rFonts w:ascii="Times New Roman" w:hAnsi="Times New Roman" w:cs="Times New Roman"/>
          <w:sz w:val="28"/>
          <w:szCs w:val="28"/>
        </w:rPr>
      </w:pPr>
      <w:r>
        <w:rPr>
          <w:rFonts w:ascii="Times New Roman" w:hAnsi="Times New Roman" w:cs="Times New Roman"/>
          <w:sz w:val="28"/>
          <w:szCs w:val="28"/>
        </w:rPr>
        <w:br w:type="page"/>
      </w:r>
    </w:p>
    <w:p w14:paraId="1EEB6108" w14:textId="63F94F37" w:rsidR="00A20322" w:rsidRDefault="00A20322" w:rsidP="00A20322">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Ответ на задание 1:</w:t>
      </w:r>
    </w:p>
    <w:p w14:paraId="2C3ED54D" w14:textId="03BDAEE6" w:rsidR="00A20322" w:rsidRPr="007601F1" w:rsidRDefault="00A20322" w:rsidP="00A20322">
      <w:pPr>
        <w:spacing w:line="240" w:lineRule="auto"/>
        <w:ind w:firstLine="709"/>
        <w:jc w:val="center"/>
        <w:rPr>
          <w:rFonts w:ascii="Times New Roman" w:hAnsi="Times New Roman" w:cs="Times New Roman"/>
          <w:sz w:val="28"/>
          <w:szCs w:val="28"/>
        </w:rPr>
      </w:pPr>
      <w:r w:rsidRPr="007601F1">
        <w:rPr>
          <w:rFonts w:ascii="Times New Roman" w:hAnsi="Times New Roman" w:cs="Times New Roman"/>
          <w:sz w:val="28"/>
          <w:szCs w:val="28"/>
        </w:rPr>
        <w:t xml:space="preserve">В </w:t>
      </w:r>
      <w:r>
        <w:rPr>
          <w:rFonts w:ascii="Times New Roman" w:hAnsi="Times New Roman" w:cs="Times New Roman"/>
          <w:sz w:val="28"/>
          <w:szCs w:val="28"/>
        </w:rPr>
        <w:t>выступлении</w:t>
      </w:r>
      <w:r w:rsidRPr="007601F1">
        <w:rPr>
          <w:rFonts w:ascii="Times New Roman" w:hAnsi="Times New Roman" w:cs="Times New Roman"/>
          <w:sz w:val="28"/>
          <w:szCs w:val="28"/>
        </w:rPr>
        <w:t xml:space="preserve"> Путина определены новые «дорожные карты» для российской дипломатии, российско-китайские отношения названы образцовыми</w:t>
      </w:r>
    </w:p>
    <w:p w14:paraId="0189B1DC"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18 ноября Президент России Владимир Путин выступил с докладом на расширенной коллегии МИД РФ и указал на острые международные и региональные проблемы, которые сегодня стоят перед Россией, а также на приоритетные направления развития внешней политики страны в будущем. В российских СМИ отмечается, что это выступление Путина можно расценивать как основное содержание готовящейся новой редакции «Концепции внешней политики Российской Федерации»</w:t>
      </w:r>
      <w:r>
        <w:rPr>
          <w:rFonts w:ascii="Times New Roman" w:hAnsi="Times New Roman" w:cs="Times New Roman"/>
          <w:sz w:val="28"/>
          <w:szCs w:val="28"/>
        </w:rPr>
        <w:t>, в нём</w:t>
      </w:r>
      <w:r w:rsidRPr="007601F1">
        <w:rPr>
          <w:rFonts w:ascii="Times New Roman" w:hAnsi="Times New Roman" w:cs="Times New Roman"/>
          <w:sz w:val="28"/>
          <w:szCs w:val="28"/>
        </w:rPr>
        <w:t xml:space="preserve"> определены новые «дорожные карты» для российской внешней политики.</w:t>
      </w:r>
    </w:p>
    <w:p w14:paraId="1A78F1F5"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 xml:space="preserve">По сообщению агентства «РИА Новости» от 19 ноября, Путин в своём выступлении последовательно изложил соображения относительно </w:t>
      </w:r>
      <w:r>
        <w:rPr>
          <w:rFonts w:ascii="Times New Roman" w:hAnsi="Times New Roman" w:cs="Times New Roman"/>
          <w:sz w:val="28"/>
          <w:szCs w:val="28"/>
        </w:rPr>
        <w:t>дальнейшего</w:t>
      </w:r>
      <w:r w:rsidRPr="0091247A">
        <w:rPr>
          <w:rFonts w:ascii="Times New Roman" w:hAnsi="Times New Roman" w:cs="Times New Roman"/>
          <w:sz w:val="28"/>
          <w:szCs w:val="28"/>
        </w:rPr>
        <w:t xml:space="preserve"> развития внешней политики России в региональном разрезе и в отношении стран и международных организаций. В частности, в этой части выступления Путин уделил приоритетное внимание </w:t>
      </w:r>
      <w:r>
        <w:rPr>
          <w:rFonts w:ascii="Times New Roman" w:hAnsi="Times New Roman" w:cs="Times New Roman"/>
          <w:sz w:val="28"/>
          <w:szCs w:val="28"/>
        </w:rPr>
        <w:t xml:space="preserve">Китаю </w:t>
      </w:r>
      <w:r w:rsidRPr="0091247A">
        <w:rPr>
          <w:rFonts w:ascii="Times New Roman" w:hAnsi="Times New Roman" w:cs="Times New Roman"/>
          <w:sz w:val="28"/>
          <w:szCs w:val="28"/>
        </w:rPr>
        <w:t>и</w:t>
      </w:r>
      <w:r w:rsidRPr="007601F1">
        <w:rPr>
          <w:rFonts w:ascii="Times New Roman" w:hAnsi="Times New Roman" w:cs="Times New Roman"/>
          <w:sz w:val="28"/>
          <w:szCs w:val="28"/>
        </w:rPr>
        <w:t xml:space="preserve"> крайне высоко оценил его</w:t>
      </w:r>
      <w:r>
        <w:rPr>
          <w:rFonts w:ascii="Times New Roman" w:hAnsi="Times New Roman" w:cs="Times New Roman"/>
          <w:sz w:val="28"/>
          <w:szCs w:val="28"/>
        </w:rPr>
        <w:t xml:space="preserve"> значение для России</w:t>
      </w:r>
      <w:r w:rsidRPr="007601F1">
        <w:rPr>
          <w:rFonts w:ascii="Times New Roman" w:hAnsi="Times New Roman" w:cs="Times New Roman"/>
          <w:sz w:val="28"/>
          <w:szCs w:val="28"/>
        </w:rPr>
        <w:t>, в пол</w:t>
      </w:r>
      <w:r>
        <w:rPr>
          <w:rFonts w:ascii="Times New Roman" w:hAnsi="Times New Roman" w:cs="Times New Roman"/>
          <w:sz w:val="28"/>
          <w:szCs w:val="28"/>
        </w:rPr>
        <w:t>ной мере продемонстрировав важную роль</w:t>
      </w:r>
      <w:r w:rsidRPr="007601F1">
        <w:rPr>
          <w:rFonts w:ascii="Times New Roman" w:hAnsi="Times New Roman" w:cs="Times New Roman"/>
          <w:sz w:val="28"/>
          <w:szCs w:val="28"/>
        </w:rPr>
        <w:t xml:space="preserve"> </w:t>
      </w:r>
      <w:r>
        <w:rPr>
          <w:rFonts w:ascii="Times New Roman" w:hAnsi="Times New Roman" w:cs="Times New Roman"/>
          <w:sz w:val="28"/>
          <w:szCs w:val="28"/>
        </w:rPr>
        <w:t>российско-китайских отношений во</w:t>
      </w:r>
      <w:r w:rsidRPr="007601F1">
        <w:rPr>
          <w:rFonts w:ascii="Times New Roman" w:hAnsi="Times New Roman" w:cs="Times New Roman"/>
          <w:sz w:val="28"/>
          <w:szCs w:val="28"/>
        </w:rPr>
        <w:t xml:space="preserve"> внешней политики России. </w:t>
      </w:r>
    </w:p>
    <w:p w14:paraId="2CE6FDDA"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 xml:space="preserve">По оценке Путина, двусторонние отношения между Россией и Китаем сейчас достигли наивысшего за всю историю уровня и носят характер всеобъемлющего стратегического партнёрства, считаются моделью эффективного межгосударственного взаимодействия в </w:t>
      </w:r>
      <w:r w:rsidRPr="007601F1">
        <w:rPr>
          <w:rFonts w:ascii="Times New Roman" w:hAnsi="Times New Roman" w:cs="Times New Roman"/>
          <w:sz w:val="28"/>
          <w:szCs w:val="28"/>
          <w:lang w:val="en-US"/>
        </w:rPr>
        <w:t>XXI</w:t>
      </w:r>
      <w:r w:rsidRPr="007601F1">
        <w:rPr>
          <w:rFonts w:ascii="Times New Roman" w:hAnsi="Times New Roman" w:cs="Times New Roman"/>
          <w:sz w:val="28"/>
          <w:szCs w:val="28"/>
        </w:rPr>
        <w:t xml:space="preserve"> веке. Путин заявил: «Конечно, это нравится не всем. Некоторые западные партнёры откр</w:t>
      </w:r>
      <w:r>
        <w:rPr>
          <w:rFonts w:ascii="Times New Roman" w:hAnsi="Times New Roman" w:cs="Times New Roman"/>
          <w:sz w:val="28"/>
          <w:szCs w:val="28"/>
        </w:rPr>
        <w:t xml:space="preserve">овенно </w:t>
      </w:r>
      <w:r w:rsidRPr="007601F1">
        <w:rPr>
          <w:rFonts w:ascii="Times New Roman" w:hAnsi="Times New Roman" w:cs="Times New Roman"/>
          <w:sz w:val="28"/>
          <w:szCs w:val="28"/>
        </w:rPr>
        <w:t xml:space="preserve">пытаются вбить клин между Москвой и Пекином. Мы это прекрасно понимаем. Мы будем продолжать вместе с нашими китайскими друзьями расширять сотрудничество в политике, экономике и иных сферах, усиливать координацию действий на международной арене». Путин также подчеркнул, что следует углублять партнёрство в рамках Шанхайской Организации Сотрудничества и продолжать развивать сотрудничество в рамках БРИКС. </w:t>
      </w:r>
    </w:p>
    <w:p w14:paraId="34A55BDE"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 xml:space="preserve">Говоря о российско-американских отношениях, Путин </w:t>
      </w:r>
      <w:r>
        <w:rPr>
          <w:rFonts w:ascii="Times New Roman" w:hAnsi="Times New Roman" w:cs="Times New Roman"/>
          <w:sz w:val="28"/>
          <w:szCs w:val="28"/>
        </w:rPr>
        <w:t>заявил</w:t>
      </w:r>
      <w:r w:rsidRPr="007601F1">
        <w:rPr>
          <w:rFonts w:ascii="Times New Roman" w:hAnsi="Times New Roman" w:cs="Times New Roman"/>
          <w:sz w:val="28"/>
          <w:szCs w:val="28"/>
        </w:rPr>
        <w:t xml:space="preserve">, что нынешняя ситуация «неудовлетворительна». Дипломаты обеих стран сталкиваются с огромными трудностями: посольства и консульства, в которых был сокращён штат сотрудников, не в состоянии нормально функционировать, а о планомерном участии в развитии двусторонних отношений и речи быть не может. «Это всё последствия выбора Соединёнными Штатами линии провокаций». Он отметил, что изъятие российской собственности в США является серьёзным нарушением всех международных норм и правил. «Куда </w:t>
      </w:r>
      <w:r>
        <w:rPr>
          <w:rFonts w:ascii="Times New Roman" w:hAnsi="Times New Roman" w:cs="Times New Roman"/>
          <w:sz w:val="28"/>
          <w:szCs w:val="28"/>
        </w:rPr>
        <w:t>по</w:t>
      </w:r>
      <w:r w:rsidRPr="007601F1">
        <w:rPr>
          <w:rFonts w:ascii="Times New Roman" w:hAnsi="Times New Roman" w:cs="Times New Roman"/>
          <w:sz w:val="28"/>
          <w:szCs w:val="28"/>
        </w:rPr>
        <w:t>де</w:t>
      </w:r>
      <w:r>
        <w:rPr>
          <w:rFonts w:ascii="Times New Roman" w:hAnsi="Times New Roman" w:cs="Times New Roman"/>
          <w:sz w:val="28"/>
          <w:szCs w:val="28"/>
        </w:rPr>
        <w:t xml:space="preserve">валась </w:t>
      </w:r>
      <w:r w:rsidRPr="007601F1">
        <w:rPr>
          <w:rFonts w:ascii="Times New Roman" w:hAnsi="Times New Roman" w:cs="Times New Roman"/>
          <w:sz w:val="28"/>
          <w:szCs w:val="28"/>
        </w:rPr>
        <w:t>Венская конвенц</w:t>
      </w:r>
      <w:r>
        <w:rPr>
          <w:rFonts w:ascii="Times New Roman" w:hAnsi="Times New Roman" w:cs="Times New Roman"/>
          <w:sz w:val="28"/>
          <w:szCs w:val="28"/>
        </w:rPr>
        <w:t>ия о дипломатических сношениях</w:t>
      </w:r>
      <w:r w:rsidRPr="007601F1">
        <w:rPr>
          <w:rFonts w:ascii="Times New Roman" w:hAnsi="Times New Roman" w:cs="Times New Roman"/>
          <w:sz w:val="28"/>
          <w:szCs w:val="28"/>
        </w:rPr>
        <w:t xml:space="preserve">? Мы, казалось бы, живём в цивилизованном мире, но на деле </w:t>
      </w:r>
      <w:r>
        <w:rPr>
          <w:rFonts w:ascii="Times New Roman" w:hAnsi="Times New Roman" w:cs="Times New Roman"/>
          <w:sz w:val="28"/>
          <w:szCs w:val="28"/>
        </w:rPr>
        <w:t>всё совсем иначе</w:t>
      </w:r>
      <w:r w:rsidRPr="007601F1">
        <w:rPr>
          <w:rFonts w:ascii="Times New Roman" w:hAnsi="Times New Roman" w:cs="Times New Roman"/>
          <w:sz w:val="28"/>
          <w:szCs w:val="28"/>
        </w:rPr>
        <w:t xml:space="preserve">». В то же время Путин заявил, что июньский саммит президентов Российской Федерации и США приоткрыл возможности для двустороннего диалога и постепенного налаживания отношений, стороны начали совместную работу в </w:t>
      </w:r>
      <w:r w:rsidRPr="007601F1">
        <w:rPr>
          <w:rFonts w:ascii="Times New Roman" w:hAnsi="Times New Roman" w:cs="Times New Roman"/>
          <w:sz w:val="28"/>
          <w:szCs w:val="28"/>
        </w:rPr>
        <w:lastRenderedPageBreak/>
        <w:t>области стратегической стабильности и информационной безопасности. Несмотря на существующие разногласия между Россией и США по многим двусторонним и международным вопросам, Россия готова к</w:t>
      </w:r>
      <w:r>
        <w:rPr>
          <w:rFonts w:ascii="Times New Roman" w:hAnsi="Times New Roman" w:cs="Times New Roman"/>
          <w:sz w:val="28"/>
          <w:szCs w:val="28"/>
        </w:rPr>
        <w:t>о</w:t>
      </w:r>
      <w:r w:rsidRPr="007601F1">
        <w:rPr>
          <w:rFonts w:ascii="Times New Roman" w:hAnsi="Times New Roman" w:cs="Times New Roman"/>
          <w:sz w:val="28"/>
          <w:szCs w:val="28"/>
        </w:rPr>
        <w:t xml:space="preserve"> взаимодействию, обмену мнениями и конструктивному диалогу с американской стороной. </w:t>
      </w:r>
    </w:p>
    <w:p w14:paraId="46C2104E"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Говоря о европейских делах, Путин с сожалением отметил, что возможности для сотрудничества между Россией и ЕС продолжают сужаться, и «хотя ЕС остаётся нашим ведущим торгово-экономически партнёром, прежде весьма продуктивное сотрудничество между Россией и ЕС сегодня испытывает серьёзные трудности». По его словам, ЕС продолжает отталкивать Россию санкциями, недружественными действиями и голословными обвинениями, игнорируя очевидную пользу от взаимодействия в политике, экономике и гуманитарной сфере, «Россия заинтересована в поддержании добрососедских и конструктивных отношений с европейскими государствами, но всё зависит от готовности наших партнёров к установлению и сохранению равноправного и уважительного сотрудничества».</w:t>
      </w:r>
    </w:p>
    <w:p w14:paraId="1DF84875"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Путин заявил, что НАТО заняло «подчёркнуто конфронтационную позицию» в отношении России, продолжает приближать свою военную инфраструктуру к российским границам, ломает механизмы двустороннего диалога. «Дело не в том, что мы рвёмся сотрудничать с ними… Они уже подают сигналы, что хотят сотрудничать, но зачем тогда без всяких причин высылать наших дипломатов?» Путин подчеркн</w:t>
      </w:r>
      <w:r>
        <w:rPr>
          <w:rFonts w:ascii="Times New Roman" w:hAnsi="Times New Roman" w:cs="Times New Roman"/>
          <w:sz w:val="28"/>
          <w:szCs w:val="28"/>
        </w:rPr>
        <w:t xml:space="preserve">ул, что Россия продолжит предостерегать </w:t>
      </w:r>
      <w:r w:rsidRPr="007601F1">
        <w:rPr>
          <w:rFonts w:ascii="Times New Roman" w:hAnsi="Times New Roman" w:cs="Times New Roman"/>
          <w:sz w:val="28"/>
          <w:szCs w:val="28"/>
        </w:rPr>
        <w:t xml:space="preserve">НАТО </w:t>
      </w:r>
      <w:r>
        <w:rPr>
          <w:rFonts w:ascii="Times New Roman" w:hAnsi="Times New Roman" w:cs="Times New Roman"/>
          <w:sz w:val="28"/>
          <w:szCs w:val="28"/>
        </w:rPr>
        <w:t xml:space="preserve">от расширения </w:t>
      </w:r>
      <w:r w:rsidRPr="007601F1">
        <w:rPr>
          <w:rFonts w:ascii="Times New Roman" w:hAnsi="Times New Roman" w:cs="Times New Roman"/>
          <w:sz w:val="28"/>
          <w:szCs w:val="28"/>
        </w:rPr>
        <w:t>на восток, «чтобы они не устроили на наших западных рубежах какой-нибудь не нужный нам конфликт».</w:t>
      </w:r>
    </w:p>
    <w:p w14:paraId="590070A4" w14:textId="77777777" w:rsidR="00A20322" w:rsidRPr="007601F1"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 xml:space="preserve">По словам Путина, действия Запада в Черноморском регионе уже выходят за все рамки, на расстоянии 20 километров </w:t>
      </w:r>
      <w:r>
        <w:rPr>
          <w:rFonts w:ascii="Times New Roman" w:hAnsi="Times New Roman" w:cs="Times New Roman"/>
          <w:sz w:val="28"/>
          <w:szCs w:val="28"/>
        </w:rPr>
        <w:t xml:space="preserve">от </w:t>
      </w:r>
      <w:r w:rsidRPr="007601F1">
        <w:rPr>
          <w:rFonts w:ascii="Times New Roman" w:hAnsi="Times New Roman" w:cs="Times New Roman"/>
          <w:sz w:val="28"/>
          <w:szCs w:val="28"/>
        </w:rPr>
        <w:t xml:space="preserve">российских границ летают стратегические бомбардировщики, которые способны нести стратегическое оружие. Путин заявил, что действия Запада по </w:t>
      </w:r>
      <w:r>
        <w:rPr>
          <w:rFonts w:ascii="Times New Roman" w:hAnsi="Times New Roman" w:cs="Times New Roman"/>
          <w:sz w:val="28"/>
          <w:szCs w:val="28"/>
        </w:rPr>
        <w:t>нагнетанию</w:t>
      </w:r>
      <w:r w:rsidRPr="007601F1">
        <w:rPr>
          <w:rFonts w:ascii="Times New Roman" w:hAnsi="Times New Roman" w:cs="Times New Roman"/>
          <w:sz w:val="28"/>
          <w:szCs w:val="28"/>
        </w:rPr>
        <w:t xml:space="preserve"> напряжённости имеют место не только в Черноморском регионе, но и в других регионах, расположенных вблизи границ России. В ответ Россия выражает обеспокоенность и проводит красные линии, «однако наши партнёры продолжают поступать так, как им заблагорассудится. Они, мягко говоря, поверхностно относятся к нашим предостережениям и красным линиям». </w:t>
      </w:r>
    </w:p>
    <w:p w14:paraId="00EE3001" w14:textId="77777777" w:rsidR="00A20322" w:rsidRDefault="00A20322" w:rsidP="00A20322">
      <w:pPr>
        <w:spacing w:after="0" w:line="240" w:lineRule="auto"/>
        <w:ind w:firstLine="709"/>
        <w:jc w:val="both"/>
        <w:rPr>
          <w:rFonts w:ascii="Times New Roman" w:hAnsi="Times New Roman" w:cs="Times New Roman"/>
          <w:sz w:val="28"/>
          <w:szCs w:val="28"/>
        </w:rPr>
      </w:pPr>
      <w:r w:rsidRPr="007601F1">
        <w:rPr>
          <w:rFonts w:ascii="Times New Roman" w:hAnsi="Times New Roman" w:cs="Times New Roman"/>
          <w:sz w:val="28"/>
          <w:szCs w:val="28"/>
        </w:rPr>
        <w:t xml:space="preserve">Путин отметил, что Запад использует миграционный кризис на белорусско-польской границе для создания напряжения в регионе и </w:t>
      </w:r>
      <w:r>
        <w:rPr>
          <w:rFonts w:ascii="Times New Roman" w:hAnsi="Times New Roman" w:cs="Times New Roman"/>
          <w:sz w:val="28"/>
          <w:szCs w:val="28"/>
        </w:rPr>
        <w:t xml:space="preserve">оказания </w:t>
      </w:r>
      <w:r w:rsidRPr="007601F1">
        <w:rPr>
          <w:rFonts w:ascii="Times New Roman" w:hAnsi="Times New Roman" w:cs="Times New Roman"/>
          <w:sz w:val="28"/>
          <w:szCs w:val="28"/>
        </w:rPr>
        <w:t>давления на Беларусь. «Они (польские пограничники) используют там водомёты и слезоточивый газ, гранаты бросают туда. Первое, что приходит в голову: там</w:t>
      </w:r>
      <w:r>
        <w:rPr>
          <w:rFonts w:ascii="Times New Roman" w:hAnsi="Times New Roman" w:cs="Times New Roman"/>
          <w:sz w:val="28"/>
          <w:szCs w:val="28"/>
        </w:rPr>
        <w:t xml:space="preserve"> же много детей!</w:t>
      </w:r>
      <w:r w:rsidRPr="007601F1">
        <w:rPr>
          <w:rFonts w:ascii="Times New Roman" w:hAnsi="Times New Roman" w:cs="Times New Roman"/>
          <w:sz w:val="28"/>
          <w:szCs w:val="28"/>
        </w:rPr>
        <w:t xml:space="preserve"> Запад забывает о собственных обязательствах в гуманитарной сфере». Путин заявил, что Россия продолжит укреплять связи и углублять интеграционные процессы с Беларусью, стороны будут реализовывать все 28 принятых недавно отраслевых союзных программ по формированию общего экономического пространства, </w:t>
      </w:r>
      <w:r>
        <w:rPr>
          <w:rFonts w:ascii="Times New Roman" w:hAnsi="Times New Roman" w:cs="Times New Roman"/>
          <w:sz w:val="28"/>
          <w:szCs w:val="28"/>
        </w:rPr>
        <w:t>продолжат</w:t>
      </w:r>
      <w:r w:rsidRPr="007601F1">
        <w:rPr>
          <w:rFonts w:ascii="Times New Roman" w:hAnsi="Times New Roman" w:cs="Times New Roman"/>
          <w:sz w:val="28"/>
          <w:szCs w:val="28"/>
        </w:rPr>
        <w:t xml:space="preserve"> проводить </w:t>
      </w:r>
      <w:r>
        <w:rPr>
          <w:rFonts w:ascii="Times New Roman" w:hAnsi="Times New Roman" w:cs="Times New Roman"/>
          <w:sz w:val="28"/>
          <w:szCs w:val="28"/>
        </w:rPr>
        <w:t>согласованную макроэкономическую, налоговую, банковско-кредитную политику.</w:t>
      </w:r>
    </w:p>
    <w:p w14:paraId="4CB44378" w14:textId="77777777" w:rsidR="00A20322" w:rsidRDefault="00A20322" w:rsidP="00A20322">
      <w:pPr>
        <w:rPr>
          <w:rFonts w:ascii="Times New Roman" w:hAnsi="Times New Roman" w:cs="Times New Roman"/>
          <w:sz w:val="28"/>
          <w:szCs w:val="28"/>
        </w:rPr>
      </w:pPr>
      <w:r>
        <w:rPr>
          <w:rFonts w:ascii="Times New Roman" w:hAnsi="Times New Roman" w:cs="Times New Roman"/>
          <w:sz w:val="28"/>
          <w:szCs w:val="28"/>
        </w:rPr>
        <w:br w:type="page"/>
      </w:r>
    </w:p>
    <w:p w14:paraId="7D81EFEB" w14:textId="262150E2" w:rsidR="00A20322" w:rsidRPr="00A20322" w:rsidRDefault="00A20322" w:rsidP="00A20322">
      <w:pPr>
        <w:jc w:val="both"/>
        <w:rPr>
          <w:rFonts w:ascii="Times New Roman" w:eastAsia="SimSun" w:hAnsi="Times New Roman" w:cs="Times New Roman"/>
          <w:color w:val="000000"/>
          <w:sz w:val="28"/>
          <w:szCs w:val="28"/>
          <w:shd w:val="clear" w:color="auto" w:fill="FFFFFF"/>
        </w:rPr>
      </w:pPr>
      <w:r w:rsidRPr="00A20322">
        <w:rPr>
          <w:rFonts w:ascii="Times New Roman" w:eastAsia="SimSun" w:hAnsi="Times New Roman" w:cs="Times New Roman"/>
          <w:color w:val="000000"/>
          <w:sz w:val="28"/>
          <w:szCs w:val="28"/>
          <w:shd w:val="clear" w:color="auto" w:fill="FFFFFF"/>
        </w:rPr>
        <w:lastRenderedPageBreak/>
        <w:t>Ответ на задание 2:</w:t>
      </w:r>
    </w:p>
    <w:p w14:paraId="3A8D39C6" w14:textId="200F1413" w:rsidR="00A20322" w:rsidRPr="002C3BB4" w:rsidRDefault="00A20322" w:rsidP="00A20322">
      <w:pPr>
        <w:jc w:val="center"/>
        <w:rPr>
          <w:rFonts w:ascii="SimSun" w:eastAsia="SimSun" w:hAnsi="SimSun" w:cs="Times New Roman"/>
          <w:sz w:val="28"/>
          <w:szCs w:val="28"/>
        </w:rPr>
      </w:pPr>
      <w:r w:rsidRPr="002C3BB4">
        <w:rPr>
          <w:rFonts w:ascii="SimSun" w:eastAsia="SimSun" w:hAnsi="SimSun" w:cs="Times New Roman"/>
          <w:color w:val="000000"/>
          <w:sz w:val="28"/>
          <w:szCs w:val="28"/>
          <w:shd w:val="clear" w:color="auto" w:fill="FFFFFF"/>
        </w:rPr>
        <w:t>联邦会议</w:t>
      </w:r>
    </w:p>
    <w:p w14:paraId="56EE2470"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俄罗斯联邦会议是俄罗斯联邦的议会，俄罗斯国家政权的代表和立法机关。</w:t>
      </w:r>
    </w:p>
    <w:p w14:paraId="08F8CFC8"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联邦会议的地位由俄罗斯宪法第5章规定。联邦会议的职能和权力</w:t>
      </w:r>
      <w:r>
        <w:rPr>
          <w:rFonts w:ascii="SimSun" w:eastAsia="SimSun" w:hAnsi="SimSun" w:cs="Times New Roman" w:hint="eastAsia"/>
          <w:sz w:val="28"/>
          <w:szCs w:val="28"/>
        </w:rPr>
        <w:t>被分配给上下</w:t>
      </w:r>
      <w:r w:rsidRPr="002C3BB4">
        <w:rPr>
          <w:rFonts w:ascii="SimSun" w:eastAsia="SimSun" w:hAnsi="SimSun" w:cs="Times New Roman"/>
          <w:sz w:val="28"/>
          <w:szCs w:val="28"/>
        </w:rPr>
        <w:t>两院，即国家杜马（俄罗斯联邦会议下院）和联邦委员会（俄罗斯联邦会议上院）。联邦会议是一个常设机构。两院分别举行会议，但也可以举行联席会议听取俄罗斯联邦总统的讲话。</w:t>
      </w:r>
    </w:p>
    <w:p w14:paraId="4C47DF22"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联邦会议由国家杜马和联邦委员会两院组成。</w:t>
      </w:r>
    </w:p>
    <w:p w14:paraId="7C47ED05"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上下两院的组成各不相同，其组成的原则也各不相同。国家杜马由450名议员组成，由直接选举产生。联邦委员会包括来自俄罗斯每个联邦主体的两名代表：一名代表立法机关，另一名代表行政机关（俄罗斯联邦有85个联邦主体，因此有170名联邦委员会议员）；联邦委员还包括由总统任命的俄罗斯联邦代表，其数量不能超过30名议员，其中包括不超过7名可被任为终身议员。有权获得联邦委员会终身席位的还有俄罗斯前总统。</w:t>
      </w:r>
    </w:p>
    <w:p w14:paraId="6E5CD891"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国家杜马的任期为宪法规定的五年，而联邦委员会没有固定的任期，但联邦委员会的议员，即俄罗斯联邦各主体的代表，在俄罗斯联邦各主体的有关机关的任期内被赋予权力。组成联邦委员会的程序和选举国家杜马议员的程序都由联邦法律规定。同一个人不能同时担任联邦委员会议员和国家杜马议员。</w:t>
      </w:r>
    </w:p>
    <w:p w14:paraId="7AED2756"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 xml:space="preserve">联邦委员会是一个 </w:t>
      </w:r>
      <w:r w:rsidRPr="003976BF">
        <w:rPr>
          <w:rFonts w:ascii="SimSun" w:eastAsia="SimSun" w:hAnsi="SimSun" w:cs="Times New Roman"/>
          <w:sz w:val="28"/>
          <w:szCs w:val="28"/>
        </w:rPr>
        <w:t>"</w:t>
      </w:r>
      <w:r>
        <w:rPr>
          <w:rFonts w:ascii="SimSun" w:eastAsia="SimSun" w:hAnsi="SimSun" w:cs="Times New Roman"/>
          <w:sz w:val="28"/>
          <w:szCs w:val="28"/>
        </w:rPr>
        <w:t>地区</w:t>
      </w:r>
      <w:r w:rsidRPr="003976BF">
        <w:rPr>
          <w:rFonts w:ascii="SimSun" w:eastAsia="SimSun" w:hAnsi="SimSun" w:cs="Times New Roman"/>
          <w:sz w:val="28"/>
          <w:szCs w:val="28"/>
        </w:rPr>
        <w:t>院</w:t>
      </w:r>
      <w:r w:rsidRPr="002C3BB4">
        <w:rPr>
          <w:rFonts w:ascii="SimSun" w:eastAsia="SimSun" w:hAnsi="SimSun" w:cs="Times New Roman"/>
          <w:sz w:val="28"/>
          <w:szCs w:val="28"/>
        </w:rPr>
        <w:t>"，</w:t>
      </w:r>
      <w:r>
        <w:rPr>
          <w:rFonts w:ascii="SimSun" w:eastAsia="SimSun" w:hAnsi="SimSun" w:cs="Times New Roman" w:hint="eastAsia"/>
          <w:sz w:val="28"/>
          <w:szCs w:val="28"/>
        </w:rPr>
        <w:t>在那里</w:t>
      </w:r>
      <w:r w:rsidRPr="002C3BB4">
        <w:rPr>
          <w:rFonts w:ascii="SimSun" w:eastAsia="SimSun" w:hAnsi="SimSun" w:cs="Times New Roman"/>
          <w:sz w:val="28"/>
          <w:szCs w:val="28"/>
        </w:rPr>
        <w:t>各地区的代表</w:t>
      </w:r>
      <w:r w:rsidRPr="003976BF">
        <w:rPr>
          <w:rFonts w:ascii="SimSun" w:eastAsia="SimSun" w:hAnsi="SimSun" w:cs="Times New Roman"/>
          <w:sz w:val="28"/>
          <w:szCs w:val="28"/>
        </w:rPr>
        <w:t>在联邦</w:t>
      </w:r>
      <w:r>
        <w:rPr>
          <w:rFonts w:ascii="SimSun" w:eastAsia="SimSun" w:hAnsi="SimSun" w:cs="Times New Roman" w:hint="eastAsia"/>
          <w:sz w:val="28"/>
          <w:szCs w:val="28"/>
        </w:rPr>
        <w:t>一</w:t>
      </w:r>
      <w:r w:rsidRPr="003976BF">
        <w:rPr>
          <w:rFonts w:ascii="SimSun" w:eastAsia="SimSun" w:hAnsi="SimSun" w:cs="Times New Roman"/>
          <w:sz w:val="28"/>
          <w:szCs w:val="28"/>
        </w:rPr>
        <w:t>级</w:t>
      </w:r>
      <w:r>
        <w:rPr>
          <w:rFonts w:ascii="SimSun" w:eastAsia="SimSun" w:hAnsi="SimSun" w:cs="Times New Roman"/>
          <w:sz w:val="28"/>
          <w:szCs w:val="28"/>
        </w:rPr>
        <w:t>代表其</w:t>
      </w:r>
      <w:r w:rsidRPr="002C3BB4">
        <w:rPr>
          <w:rFonts w:ascii="SimSun" w:eastAsia="SimSun" w:hAnsi="SimSun" w:cs="Times New Roman"/>
          <w:sz w:val="28"/>
          <w:szCs w:val="28"/>
        </w:rPr>
        <w:t>利益，这体现出俄罗斯国家的联邦原则。联邦委员会是一个常设机构。与国家杜马不同，联邦委员会不能由总统解散。联邦委员会</w:t>
      </w:r>
      <w:r w:rsidRPr="003976BF">
        <w:rPr>
          <w:rFonts w:ascii="SimSun" w:eastAsia="SimSun" w:hAnsi="SimSun" w:cs="Times New Roman"/>
          <w:sz w:val="28"/>
          <w:szCs w:val="28"/>
        </w:rPr>
        <w:t>随时开会</w:t>
      </w:r>
      <w:r w:rsidRPr="002C3BB4">
        <w:rPr>
          <w:rFonts w:ascii="SimSun" w:eastAsia="SimSun" w:hAnsi="SimSun" w:cs="Times New Roman"/>
          <w:sz w:val="28"/>
          <w:szCs w:val="28"/>
        </w:rPr>
        <w:t>，</w:t>
      </w:r>
      <w:r w:rsidRPr="003976BF">
        <w:rPr>
          <w:rFonts w:ascii="SimSun" w:eastAsia="SimSun" w:hAnsi="SimSun" w:cs="Times New Roman"/>
          <w:sz w:val="28"/>
          <w:szCs w:val="28"/>
        </w:rPr>
        <w:t>但每月至少举行两次会议</w:t>
      </w:r>
      <w:r w:rsidRPr="002C3BB4">
        <w:rPr>
          <w:rFonts w:ascii="SimSun" w:eastAsia="SimSun" w:hAnsi="SimSun" w:cs="Times New Roman"/>
          <w:sz w:val="28"/>
          <w:szCs w:val="28"/>
        </w:rPr>
        <w:t>。联邦委员会的会议是议院工作的主要形式。</w:t>
      </w:r>
    </w:p>
    <w:p w14:paraId="770B0766"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上议员在其任期内享有豁免权。他们不能被逮捕或起诉。</w:t>
      </w:r>
    </w:p>
    <w:p w14:paraId="7D27C950"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3976BF">
        <w:rPr>
          <w:rFonts w:ascii="SimSun" w:eastAsia="SimSun" w:hAnsi="SimSun" w:cs="Times New Roman"/>
          <w:sz w:val="28"/>
          <w:szCs w:val="28"/>
        </w:rPr>
        <w:t>对于</w:t>
      </w:r>
      <w:r>
        <w:rPr>
          <w:rFonts w:eastAsia="SimSun" w:cs="Times New Roman" w:hint="eastAsia"/>
          <w:sz w:val="28"/>
          <w:szCs w:val="28"/>
        </w:rPr>
        <w:t>按照</w:t>
      </w:r>
      <w:r w:rsidRPr="003976BF">
        <w:rPr>
          <w:rFonts w:ascii="SimSun" w:eastAsia="SimSun" w:hAnsi="SimSun" w:cs="Times New Roman"/>
          <w:sz w:val="28"/>
          <w:szCs w:val="28"/>
        </w:rPr>
        <w:t>《俄罗斯联邦宪法》</w:t>
      </w:r>
      <w:r w:rsidRPr="003976BF">
        <w:rPr>
          <w:rFonts w:ascii="SimSun" w:eastAsia="SimSun" w:hAnsi="SimSun" w:cs="Times New Roman" w:hint="eastAsia"/>
          <w:sz w:val="28"/>
          <w:szCs w:val="28"/>
        </w:rPr>
        <w:t>属于联邦委员会的职权范围</w:t>
      </w:r>
      <w:r w:rsidRPr="003976BF">
        <w:rPr>
          <w:rFonts w:ascii="SimSun" w:eastAsia="SimSun" w:hAnsi="SimSun" w:cs="Times New Roman"/>
          <w:sz w:val="28"/>
          <w:szCs w:val="28"/>
        </w:rPr>
        <w:t>的问题，联邦委员会应通</w:t>
      </w:r>
      <w:r w:rsidRPr="003976BF">
        <w:rPr>
          <w:rFonts w:ascii="SimSun" w:eastAsia="SimSun" w:hAnsi="SimSun" w:cs="Times New Roman" w:hint="eastAsia"/>
          <w:sz w:val="28"/>
          <w:szCs w:val="28"/>
          <w:lang w:val="en-US"/>
        </w:rPr>
        <w:t>过决议</w:t>
      </w:r>
      <w:r w:rsidRPr="003976BF">
        <w:rPr>
          <w:rFonts w:ascii="SimSun" w:eastAsia="SimSun" w:hAnsi="SimSun" w:cs="Times New Roman"/>
          <w:sz w:val="28"/>
          <w:szCs w:val="28"/>
        </w:rPr>
        <w:t>，并以上议员总数的多数票通过，除非《俄罗斯联邦宪法》对通过决定的程序另有规定。</w:t>
      </w:r>
    </w:p>
    <w:p w14:paraId="7A630C9A"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在制定法律方面，联邦委员会起着从属于国家杜马的作用。任何法律草案都要首先提交给国家杜马，只有在下议院批准后才能提交给联邦委员会。</w:t>
      </w:r>
    </w:p>
    <w:p w14:paraId="44E76A9A" w14:textId="77777777" w:rsidR="00A20322" w:rsidRPr="002C3BB4" w:rsidRDefault="00A20322" w:rsidP="00A20322">
      <w:pPr>
        <w:spacing w:after="0" w:line="240" w:lineRule="auto"/>
        <w:ind w:firstLine="709"/>
        <w:jc w:val="both"/>
        <w:rPr>
          <w:rFonts w:ascii="SimSun" w:eastAsia="SimSun" w:hAnsi="SimSun" w:cs="Times New Roman"/>
          <w:sz w:val="28"/>
          <w:szCs w:val="28"/>
        </w:rPr>
      </w:pPr>
      <w:r w:rsidRPr="002C3BB4">
        <w:rPr>
          <w:rFonts w:ascii="SimSun" w:eastAsia="SimSun" w:hAnsi="SimSun" w:cs="Times New Roman"/>
          <w:sz w:val="28"/>
          <w:szCs w:val="28"/>
        </w:rPr>
        <w:t>在审议国家杜马通过的法律草案时，联邦委员会无权提出修正案，只有批准或拒绝整个法律草案的权力。如果联邦委员会议员总数的一半以上投票赞成一项联邦法，或联邦委员会在十四天内未对其进行审议，该项联邦法便应被视为</w:t>
      </w:r>
      <w:r w:rsidRPr="002C3BB4">
        <w:rPr>
          <w:rFonts w:ascii="SimSun" w:eastAsia="SimSun" w:hAnsi="SimSun" w:cs="Times New Roman"/>
          <w:sz w:val="28"/>
          <w:szCs w:val="28"/>
          <w:lang w:val="en-US"/>
        </w:rPr>
        <w:t>已得到</w:t>
      </w:r>
      <w:r w:rsidRPr="002C3BB4">
        <w:rPr>
          <w:rFonts w:ascii="SimSun" w:eastAsia="SimSun" w:hAnsi="SimSun" w:cs="Times New Roman"/>
          <w:sz w:val="28"/>
          <w:szCs w:val="28"/>
        </w:rPr>
        <w:t>联邦委员会的批准。</w:t>
      </w:r>
    </w:p>
    <w:p w14:paraId="75AA6F4E" w14:textId="6F0E0643" w:rsidR="00C31632" w:rsidRDefault="00C31632" w:rsidP="00D64C29">
      <w:pPr>
        <w:pStyle w:val="a3"/>
        <w:ind w:firstLine="709"/>
        <w:jc w:val="both"/>
        <w:rPr>
          <w:rFonts w:ascii="Times New Roman" w:hAnsi="Times New Roman" w:cs="Times New Roman"/>
          <w:sz w:val="28"/>
          <w:szCs w:val="28"/>
        </w:rPr>
      </w:pPr>
    </w:p>
    <w:p w14:paraId="27F346B7" w14:textId="2B0CD311" w:rsidR="00080026" w:rsidRDefault="006E2541" w:rsidP="00080026">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Задания выполнил </w:t>
      </w:r>
      <w:r w:rsidR="00080026">
        <w:rPr>
          <w:rFonts w:ascii="Times New Roman" w:hAnsi="Times New Roman" w:cs="Times New Roman"/>
          <w:sz w:val="28"/>
          <w:szCs w:val="28"/>
        </w:rPr>
        <w:t xml:space="preserve">Зайцев Илья Вячеславович, </w:t>
      </w:r>
    </w:p>
    <w:p w14:paraId="3AECAE53" w14:textId="21D2D9BC" w:rsidR="00C777E8" w:rsidRDefault="00080026" w:rsidP="00080026">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Институт стран Азии и Африки МГУ им. М. В. Ломоносова</w:t>
      </w:r>
    </w:p>
    <w:p w14:paraId="30F7D511" w14:textId="77777777" w:rsidR="00C777E8" w:rsidRDefault="00C777E8">
      <w:pPr>
        <w:rPr>
          <w:rFonts w:ascii="Times New Roman" w:hAnsi="Times New Roman" w:cs="Times New Roman"/>
          <w:sz w:val="28"/>
          <w:szCs w:val="28"/>
        </w:rPr>
      </w:pPr>
      <w:r>
        <w:rPr>
          <w:rFonts w:ascii="Times New Roman" w:hAnsi="Times New Roman" w:cs="Times New Roman"/>
          <w:sz w:val="28"/>
          <w:szCs w:val="28"/>
        </w:rPr>
        <w:br w:type="page"/>
      </w:r>
    </w:p>
    <w:tbl>
      <w:tblPr>
        <w:tblStyle w:val="a8"/>
        <w:tblW w:w="0" w:type="auto"/>
        <w:tblCellSpacing w:w="14" w:type="dxa"/>
        <w:tblInd w:w="-147" w:type="dxa"/>
        <w:tblLook w:val="04A0" w:firstRow="1" w:lastRow="0" w:firstColumn="1" w:lastColumn="0" w:noHBand="0" w:noVBand="1"/>
      </w:tblPr>
      <w:tblGrid>
        <w:gridCol w:w="502"/>
        <w:gridCol w:w="2635"/>
        <w:gridCol w:w="2441"/>
      </w:tblGrid>
      <w:tr w:rsidR="00C777E8" w:rsidRPr="00B301A2" w14:paraId="0CAAC73D" w14:textId="77777777" w:rsidTr="00AA7AC8">
        <w:trPr>
          <w:trHeight w:val="227"/>
          <w:tblCellSpacing w:w="14" w:type="dxa"/>
        </w:trPr>
        <w:tc>
          <w:tcPr>
            <w:tcW w:w="0" w:type="auto"/>
          </w:tcPr>
          <w:p w14:paraId="376E268D" w14:textId="77777777" w:rsidR="00C777E8" w:rsidRPr="00466360" w:rsidRDefault="00C777E8" w:rsidP="00AA7AC8">
            <w:pPr>
              <w:rPr>
                <w:rFonts w:ascii="Times New Roman" w:hAnsi="Times New Roman" w:cs="Times New Roman"/>
                <w:color w:val="000000" w:themeColor="text1"/>
                <w:highlight w:val="yellow"/>
              </w:rPr>
            </w:pPr>
          </w:p>
        </w:tc>
        <w:tc>
          <w:tcPr>
            <w:tcW w:w="2607" w:type="dxa"/>
          </w:tcPr>
          <w:p w14:paraId="17C9C9E3"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ФИО</w:t>
            </w:r>
          </w:p>
        </w:tc>
        <w:tc>
          <w:tcPr>
            <w:tcW w:w="2399" w:type="dxa"/>
          </w:tcPr>
          <w:p w14:paraId="3352DB10"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ИТОГОВАЯ ОЦЕНКА</w:t>
            </w:r>
          </w:p>
        </w:tc>
      </w:tr>
      <w:tr w:rsidR="00C777E8" w:rsidRPr="00B301A2" w14:paraId="7118EC81" w14:textId="77777777" w:rsidTr="00AA7AC8">
        <w:trPr>
          <w:trHeight w:val="227"/>
          <w:tblCellSpacing w:w="14" w:type="dxa"/>
        </w:trPr>
        <w:tc>
          <w:tcPr>
            <w:tcW w:w="0" w:type="auto"/>
          </w:tcPr>
          <w:p w14:paraId="0EAA1B25" w14:textId="77777777" w:rsidR="00C777E8" w:rsidRPr="00466360" w:rsidRDefault="00C777E8" w:rsidP="00AA7AC8">
            <w:pPr>
              <w:rPr>
                <w:rFonts w:ascii="Times New Roman" w:hAnsi="Times New Roman" w:cs="Times New Roman"/>
                <w:color w:val="000000" w:themeColor="text1"/>
              </w:rPr>
            </w:pPr>
            <w:bookmarkStart w:id="1" w:name="_Hlk94460478"/>
            <w:r w:rsidRPr="00466360">
              <w:rPr>
                <w:rFonts w:ascii="Times New Roman" w:hAnsi="Times New Roman" w:cs="Times New Roman"/>
                <w:color w:val="000000" w:themeColor="text1"/>
              </w:rPr>
              <w:t>1</w:t>
            </w:r>
          </w:p>
        </w:tc>
        <w:tc>
          <w:tcPr>
            <w:tcW w:w="2607" w:type="dxa"/>
          </w:tcPr>
          <w:p w14:paraId="2EE025D2"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Зайцев И.В.</w:t>
            </w:r>
          </w:p>
        </w:tc>
        <w:tc>
          <w:tcPr>
            <w:tcW w:w="2399" w:type="dxa"/>
          </w:tcPr>
          <w:p w14:paraId="6817B8C9"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96</w:t>
            </w:r>
          </w:p>
        </w:tc>
      </w:tr>
      <w:tr w:rsidR="00C777E8" w:rsidRPr="00B301A2" w14:paraId="173C2F5C" w14:textId="77777777" w:rsidTr="00AA7AC8">
        <w:trPr>
          <w:trHeight w:val="227"/>
          <w:tblCellSpacing w:w="14" w:type="dxa"/>
        </w:trPr>
        <w:tc>
          <w:tcPr>
            <w:tcW w:w="0" w:type="auto"/>
          </w:tcPr>
          <w:p w14:paraId="643609DF" w14:textId="77777777" w:rsidR="00C777E8" w:rsidRPr="00466360" w:rsidRDefault="00C777E8" w:rsidP="00AA7AC8">
            <w:pPr>
              <w:pStyle w:val="a9"/>
              <w:rPr>
                <w:color w:val="000000" w:themeColor="text1"/>
                <w:sz w:val="22"/>
                <w:szCs w:val="22"/>
              </w:rPr>
            </w:pPr>
            <w:r w:rsidRPr="00466360">
              <w:rPr>
                <w:color w:val="000000" w:themeColor="text1"/>
                <w:sz w:val="22"/>
                <w:szCs w:val="22"/>
              </w:rPr>
              <w:t>2</w:t>
            </w:r>
          </w:p>
        </w:tc>
        <w:tc>
          <w:tcPr>
            <w:tcW w:w="2607" w:type="dxa"/>
          </w:tcPr>
          <w:p w14:paraId="08259757"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Мошков Г.М.</w:t>
            </w:r>
          </w:p>
        </w:tc>
        <w:tc>
          <w:tcPr>
            <w:tcW w:w="2399" w:type="dxa"/>
          </w:tcPr>
          <w:p w14:paraId="252BAA97"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95</w:t>
            </w:r>
          </w:p>
        </w:tc>
      </w:tr>
      <w:tr w:rsidR="00C777E8" w:rsidRPr="00B301A2" w14:paraId="585A9A35" w14:textId="77777777" w:rsidTr="00AA7AC8">
        <w:trPr>
          <w:trHeight w:val="227"/>
          <w:tblCellSpacing w:w="14" w:type="dxa"/>
        </w:trPr>
        <w:tc>
          <w:tcPr>
            <w:tcW w:w="0" w:type="auto"/>
          </w:tcPr>
          <w:p w14:paraId="7AF1A15A" w14:textId="77777777" w:rsidR="00C777E8" w:rsidRPr="00466360" w:rsidRDefault="00C777E8" w:rsidP="00AA7AC8">
            <w:pPr>
              <w:pStyle w:val="a9"/>
              <w:rPr>
                <w:color w:val="000000" w:themeColor="text1"/>
                <w:sz w:val="22"/>
                <w:szCs w:val="22"/>
              </w:rPr>
            </w:pPr>
            <w:r w:rsidRPr="00466360">
              <w:rPr>
                <w:color w:val="000000" w:themeColor="text1"/>
                <w:sz w:val="22"/>
                <w:szCs w:val="22"/>
              </w:rPr>
              <w:t>3</w:t>
            </w:r>
          </w:p>
        </w:tc>
        <w:tc>
          <w:tcPr>
            <w:tcW w:w="2607" w:type="dxa"/>
          </w:tcPr>
          <w:p w14:paraId="22C7FE19"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Милько М.М.</w:t>
            </w:r>
          </w:p>
        </w:tc>
        <w:tc>
          <w:tcPr>
            <w:tcW w:w="2399" w:type="dxa"/>
          </w:tcPr>
          <w:p w14:paraId="6D6BB70F"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94</w:t>
            </w:r>
          </w:p>
        </w:tc>
      </w:tr>
      <w:tr w:rsidR="00C777E8" w:rsidRPr="00B301A2" w14:paraId="646C3BAB" w14:textId="77777777" w:rsidTr="00AA7AC8">
        <w:trPr>
          <w:trHeight w:val="227"/>
          <w:tblCellSpacing w:w="14" w:type="dxa"/>
        </w:trPr>
        <w:tc>
          <w:tcPr>
            <w:tcW w:w="0" w:type="auto"/>
          </w:tcPr>
          <w:p w14:paraId="26DAC27D"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4</w:t>
            </w:r>
          </w:p>
        </w:tc>
        <w:tc>
          <w:tcPr>
            <w:tcW w:w="2607" w:type="dxa"/>
          </w:tcPr>
          <w:p w14:paraId="31640A15"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Рживуцкая А.</w:t>
            </w:r>
          </w:p>
        </w:tc>
        <w:tc>
          <w:tcPr>
            <w:tcW w:w="2399" w:type="dxa"/>
          </w:tcPr>
          <w:p w14:paraId="65E384D8"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94</w:t>
            </w:r>
          </w:p>
        </w:tc>
      </w:tr>
      <w:bookmarkEnd w:id="1"/>
      <w:tr w:rsidR="00C777E8" w:rsidRPr="00B301A2" w14:paraId="0AA4BAEB" w14:textId="77777777" w:rsidTr="00AA7AC8">
        <w:trPr>
          <w:trHeight w:val="227"/>
          <w:tblCellSpacing w:w="14" w:type="dxa"/>
        </w:trPr>
        <w:tc>
          <w:tcPr>
            <w:tcW w:w="0" w:type="auto"/>
          </w:tcPr>
          <w:p w14:paraId="2739E9DC" w14:textId="77777777" w:rsidR="00C777E8" w:rsidRPr="00466360" w:rsidRDefault="00C777E8" w:rsidP="00AA7AC8">
            <w:pPr>
              <w:pStyle w:val="a9"/>
              <w:rPr>
                <w:color w:val="000000" w:themeColor="text1"/>
                <w:sz w:val="22"/>
                <w:szCs w:val="22"/>
              </w:rPr>
            </w:pPr>
            <w:r w:rsidRPr="00466360">
              <w:rPr>
                <w:color w:val="000000" w:themeColor="text1"/>
                <w:sz w:val="22"/>
                <w:szCs w:val="22"/>
              </w:rPr>
              <w:t>5</w:t>
            </w:r>
          </w:p>
        </w:tc>
        <w:tc>
          <w:tcPr>
            <w:tcW w:w="2607" w:type="dxa"/>
          </w:tcPr>
          <w:p w14:paraId="73CD757C"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Беганская(Редькина) И.Д.</w:t>
            </w:r>
          </w:p>
        </w:tc>
        <w:tc>
          <w:tcPr>
            <w:tcW w:w="2399" w:type="dxa"/>
          </w:tcPr>
          <w:p w14:paraId="2C210AB6"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93</w:t>
            </w:r>
          </w:p>
        </w:tc>
      </w:tr>
      <w:tr w:rsidR="00C777E8" w:rsidRPr="00B301A2" w14:paraId="5CF405E7" w14:textId="77777777" w:rsidTr="00AA7AC8">
        <w:trPr>
          <w:trHeight w:val="227"/>
          <w:tblCellSpacing w:w="14" w:type="dxa"/>
        </w:trPr>
        <w:tc>
          <w:tcPr>
            <w:tcW w:w="0" w:type="auto"/>
          </w:tcPr>
          <w:p w14:paraId="6CA371D4"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6</w:t>
            </w:r>
          </w:p>
        </w:tc>
        <w:tc>
          <w:tcPr>
            <w:tcW w:w="2607" w:type="dxa"/>
          </w:tcPr>
          <w:p w14:paraId="5552D584"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Сенотрусов В.</w:t>
            </w:r>
          </w:p>
        </w:tc>
        <w:tc>
          <w:tcPr>
            <w:tcW w:w="2399" w:type="dxa"/>
          </w:tcPr>
          <w:p w14:paraId="65D5FA66"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91</w:t>
            </w:r>
          </w:p>
        </w:tc>
      </w:tr>
      <w:tr w:rsidR="00C777E8" w:rsidRPr="00B301A2" w14:paraId="12C6596C" w14:textId="77777777" w:rsidTr="00AA7AC8">
        <w:trPr>
          <w:trHeight w:val="227"/>
          <w:tblCellSpacing w:w="14" w:type="dxa"/>
        </w:trPr>
        <w:tc>
          <w:tcPr>
            <w:tcW w:w="0" w:type="auto"/>
          </w:tcPr>
          <w:p w14:paraId="18934982"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7</w:t>
            </w:r>
          </w:p>
        </w:tc>
        <w:tc>
          <w:tcPr>
            <w:tcW w:w="2607" w:type="dxa"/>
          </w:tcPr>
          <w:p w14:paraId="6577CADA"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Мустафаева Э.Д.</w:t>
            </w:r>
          </w:p>
        </w:tc>
        <w:tc>
          <w:tcPr>
            <w:tcW w:w="2399" w:type="dxa"/>
          </w:tcPr>
          <w:p w14:paraId="3FAE0A1A"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86</w:t>
            </w:r>
          </w:p>
        </w:tc>
      </w:tr>
      <w:tr w:rsidR="00C777E8" w:rsidRPr="00B301A2" w14:paraId="3315C48D" w14:textId="77777777" w:rsidTr="00AA7AC8">
        <w:trPr>
          <w:trHeight w:val="227"/>
          <w:tblCellSpacing w:w="14" w:type="dxa"/>
        </w:trPr>
        <w:tc>
          <w:tcPr>
            <w:tcW w:w="0" w:type="auto"/>
          </w:tcPr>
          <w:p w14:paraId="5E612CC5"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8</w:t>
            </w:r>
          </w:p>
        </w:tc>
        <w:tc>
          <w:tcPr>
            <w:tcW w:w="2607" w:type="dxa"/>
          </w:tcPr>
          <w:p w14:paraId="50FF65AB"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Тимакин Ю.Д.</w:t>
            </w:r>
          </w:p>
        </w:tc>
        <w:tc>
          <w:tcPr>
            <w:tcW w:w="2399" w:type="dxa"/>
          </w:tcPr>
          <w:p w14:paraId="70EC44BC"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84</w:t>
            </w:r>
          </w:p>
        </w:tc>
      </w:tr>
      <w:tr w:rsidR="00C777E8" w:rsidRPr="00B301A2" w14:paraId="50C2EB0B" w14:textId="77777777" w:rsidTr="00AA7AC8">
        <w:trPr>
          <w:trHeight w:val="227"/>
          <w:tblCellSpacing w:w="14" w:type="dxa"/>
        </w:trPr>
        <w:tc>
          <w:tcPr>
            <w:tcW w:w="0" w:type="auto"/>
          </w:tcPr>
          <w:p w14:paraId="6522308F"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9</w:t>
            </w:r>
          </w:p>
        </w:tc>
        <w:tc>
          <w:tcPr>
            <w:tcW w:w="2607" w:type="dxa"/>
          </w:tcPr>
          <w:p w14:paraId="6BADC7E5"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Полякова К.А.</w:t>
            </w:r>
          </w:p>
        </w:tc>
        <w:tc>
          <w:tcPr>
            <w:tcW w:w="2399" w:type="dxa"/>
          </w:tcPr>
          <w:p w14:paraId="04DA9641"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83</w:t>
            </w:r>
          </w:p>
        </w:tc>
      </w:tr>
      <w:tr w:rsidR="00C777E8" w:rsidRPr="00B301A2" w14:paraId="2E1E538D" w14:textId="77777777" w:rsidTr="00AA7AC8">
        <w:trPr>
          <w:trHeight w:val="227"/>
          <w:tblCellSpacing w:w="14" w:type="dxa"/>
        </w:trPr>
        <w:tc>
          <w:tcPr>
            <w:tcW w:w="0" w:type="auto"/>
          </w:tcPr>
          <w:p w14:paraId="60BFDE02"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10</w:t>
            </w:r>
          </w:p>
        </w:tc>
        <w:tc>
          <w:tcPr>
            <w:tcW w:w="2607" w:type="dxa"/>
          </w:tcPr>
          <w:p w14:paraId="3BB4EAD6"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Коваленко Ю.С.</w:t>
            </w:r>
          </w:p>
        </w:tc>
        <w:tc>
          <w:tcPr>
            <w:tcW w:w="2399" w:type="dxa"/>
          </w:tcPr>
          <w:p w14:paraId="26A1F41A"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82</w:t>
            </w:r>
          </w:p>
        </w:tc>
      </w:tr>
      <w:tr w:rsidR="00C777E8" w:rsidRPr="00B301A2" w14:paraId="76C510CE" w14:textId="77777777" w:rsidTr="00AA7AC8">
        <w:trPr>
          <w:trHeight w:val="227"/>
          <w:tblCellSpacing w:w="14" w:type="dxa"/>
        </w:trPr>
        <w:tc>
          <w:tcPr>
            <w:tcW w:w="0" w:type="auto"/>
          </w:tcPr>
          <w:p w14:paraId="5C781459" w14:textId="77777777" w:rsidR="00C777E8" w:rsidRPr="00466360" w:rsidRDefault="00C777E8" w:rsidP="00AA7AC8">
            <w:pPr>
              <w:rPr>
                <w:rFonts w:ascii="Times New Roman" w:hAnsi="Times New Roman" w:cs="Times New Roman"/>
                <w:color w:val="000000" w:themeColor="text1"/>
              </w:rPr>
            </w:pPr>
            <w:r w:rsidRPr="00466360">
              <w:rPr>
                <w:rFonts w:ascii="Times New Roman" w:hAnsi="Times New Roman" w:cs="Times New Roman"/>
                <w:color w:val="000000" w:themeColor="text1"/>
              </w:rPr>
              <w:t>11</w:t>
            </w:r>
          </w:p>
        </w:tc>
        <w:tc>
          <w:tcPr>
            <w:tcW w:w="2607" w:type="dxa"/>
          </w:tcPr>
          <w:p w14:paraId="05B18928"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Савченко А.</w:t>
            </w:r>
          </w:p>
        </w:tc>
        <w:tc>
          <w:tcPr>
            <w:tcW w:w="2399" w:type="dxa"/>
          </w:tcPr>
          <w:p w14:paraId="06E76973" w14:textId="77777777" w:rsidR="00C777E8" w:rsidRPr="00466360" w:rsidRDefault="00C777E8" w:rsidP="00AA7AC8">
            <w:pPr>
              <w:jc w:val="both"/>
              <w:rPr>
                <w:rFonts w:ascii="Times New Roman" w:hAnsi="Times New Roman" w:cs="Times New Roman"/>
                <w:color w:val="000000" w:themeColor="text1"/>
              </w:rPr>
            </w:pPr>
            <w:r w:rsidRPr="00466360">
              <w:rPr>
                <w:rFonts w:ascii="Times New Roman" w:hAnsi="Times New Roman" w:cs="Times New Roman"/>
                <w:color w:val="000000" w:themeColor="text1"/>
              </w:rPr>
              <w:t>82</w:t>
            </w:r>
          </w:p>
        </w:tc>
      </w:tr>
      <w:tr w:rsidR="00C777E8" w:rsidRPr="00B301A2" w14:paraId="7219574A" w14:textId="77777777" w:rsidTr="00AA7AC8">
        <w:trPr>
          <w:trHeight w:val="227"/>
          <w:tblCellSpacing w:w="14" w:type="dxa"/>
        </w:trPr>
        <w:tc>
          <w:tcPr>
            <w:tcW w:w="0" w:type="auto"/>
          </w:tcPr>
          <w:p w14:paraId="0122993D"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12</w:t>
            </w:r>
          </w:p>
        </w:tc>
        <w:tc>
          <w:tcPr>
            <w:tcW w:w="2607" w:type="dxa"/>
          </w:tcPr>
          <w:p w14:paraId="275D69F1"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Шиманович А.</w:t>
            </w:r>
          </w:p>
        </w:tc>
        <w:tc>
          <w:tcPr>
            <w:tcW w:w="2399" w:type="dxa"/>
          </w:tcPr>
          <w:p w14:paraId="45B5FF8B"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80</w:t>
            </w:r>
          </w:p>
        </w:tc>
      </w:tr>
      <w:tr w:rsidR="00C777E8" w:rsidRPr="00B301A2" w14:paraId="2D1259D9" w14:textId="77777777" w:rsidTr="00AA7AC8">
        <w:trPr>
          <w:trHeight w:val="227"/>
          <w:tblCellSpacing w:w="14" w:type="dxa"/>
        </w:trPr>
        <w:tc>
          <w:tcPr>
            <w:tcW w:w="0" w:type="auto"/>
          </w:tcPr>
          <w:p w14:paraId="5136A7AB"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13</w:t>
            </w:r>
          </w:p>
        </w:tc>
        <w:tc>
          <w:tcPr>
            <w:tcW w:w="2607" w:type="dxa"/>
          </w:tcPr>
          <w:p w14:paraId="38CB39A4"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color w:val="000000"/>
              </w:rPr>
              <w:t>Бардамова М.Ю.</w:t>
            </w:r>
          </w:p>
        </w:tc>
        <w:tc>
          <w:tcPr>
            <w:tcW w:w="2399" w:type="dxa"/>
          </w:tcPr>
          <w:p w14:paraId="676F1F58"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80</w:t>
            </w:r>
          </w:p>
        </w:tc>
      </w:tr>
      <w:tr w:rsidR="00C777E8" w:rsidRPr="00B301A2" w14:paraId="33DEAEE6" w14:textId="77777777" w:rsidTr="00AA7AC8">
        <w:trPr>
          <w:trHeight w:val="227"/>
          <w:tblCellSpacing w:w="14" w:type="dxa"/>
        </w:trPr>
        <w:tc>
          <w:tcPr>
            <w:tcW w:w="0" w:type="auto"/>
          </w:tcPr>
          <w:p w14:paraId="340D9C5F"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14</w:t>
            </w:r>
          </w:p>
        </w:tc>
        <w:tc>
          <w:tcPr>
            <w:tcW w:w="2607" w:type="dxa"/>
          </w:tcPr>
          <w:p w14:paraId="0934A761"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Куканова Н.Д</w:t>
            </w:r>
          </w:p>
        </w:tc>
        <w:tc>
          <w:tcPr>
            <w:tcW w:w="2399" w:type="dxa"/>
          </w:tcPr>
          <w:p w14:paraId="4405F6ED"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79</w:t>
            </w:r>
          </w:p>
        </w:tc>
      </w:tr>
      <w:tr w:rsidR="00C777E8" w:rsidRPr="00B301A2" w14:paraId="0B76F6F9" w14:textId="77777777" w:rsidTr="00AA7AC8">
        <w:trPr>
          <w:trHeight w:val="227"/>
          <w:tblCellSpacing w:w="14" w:type="dxa"/>
        </w:trPr>
        <w:tc>
          <w:tcPr>
            <w:tcW w:w="0" w:type="auto"/>
          </w:tcPr>
          <w:p w14:paraId="00E88E5E"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15</w:t>
            </w:r>
          </w:p>
        </w:tc>
        <w:tc>
          <w:tcPr>
            <w:tcW w:w="2607" w:type="dxa"/>
          </w:tcPr>
          <w:p w14:paraId="74AA5355"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Косвинцева Е.С.</w:t>
            </w:r>
          </w:p>
        </w:tc>
        <w:tc>
          <w:tcPr>
            <w:tcW w:w="2399" w:type="dxa"/>
          </w:tcPr>
          <w:p w14:paraId="454BE402"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78</w:t>
            </w:r>
          </w:p>
        </w:tc>
      </w:tr>
      <w:tr w:rsidR="00C777E8" w:rsidRPr="00B301A2" w14:paraId="4FC1B43C" w14:textId="77777777" w:rsidTr="00AA7AC8">
        <w:trPr>
          <w:trHeight w:val="227"/>
          <w:tblCellSpacing w:w="14" w:type="dxa"/>
        </w:trPr>
        <w:tc>
          <w:tcPr>
            <w:tcW w:w="0" w:type="auto"/>
          </w:tcPr>
          <w:p w14:paraId="6DED648E"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16</w:t>
            </w:r>
          </w:p>
        </w:tc>
        <w:tc>
          <w:tcPr>
            <w:tcW w:w="2607" w:type="dxa"/>
          </w:tcPr>
          <w:p w14:paraId="47377AF8"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Минакова В.М.</w:t>
            </w:r>
          </w:p>
        </w:tc>
        <w:tc>
          <w:tcPr>
            <w:tcW w:w="2399" w:type="dxa"/>
          </w:tcPr>
          <w:p w14:paraId="36755EC6"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78</w:t>
            </w:r>
          </w:p>
        </w:tc>
      </w:tr>
      <w:tr w:rsidR="00C777E8" w:rsidRPr="00B301A2" w14:paraId="69ACDE39" w14:textId="77777777" w:rsidTr="00AA7AC8">
        <w:trPr>
          <w:trHeight w:val="227"/>
          <w:tblCellSpacing w:w="14" w:type="dxa"/>
        </w:trPr>
        <w:tc>
          <w:tcPr>
            <w:tcW w:w="0" w:type="auto"/>
          </w:tcPr>
          <w:p w14:paraId="552C47A0"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17</w:t>
            </w:r>
          </w:p>
        </w:tc>
        <w:tc>
          <w:tcPr>
            <w:tcW w:w="2607" w:type="dxa"/>
          </w:tcPr>
          <w:p w14:paraId="1EC49932"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Ланина А.И.</w:t>
            </w:r>
          </w:p>
        </w:tc>
        <w:tc>
          <w:tcPr>
            <w:tcW w:w="2399" w:type="dxa"/>
          </w:tcPr>
          <w:p w14:paraId="7735E55B"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78</w:t>
            </w:r>
          </w:p>
        </w:tc>
      </w:tr>
      <w:tr w:rsidR="00C777E8" w:rsidRPr="00B301A2" w14:paraId="53447279" w14:textId="77777777" w:rsidTr="00AA7AC8">
        <w:trPr>
          <w:trHeight w:val="227"/>
          <w:tblCellSpacing w:w="14" w:type="dxa"/>
        </w:trPr>
        <w:tc>
          <w:tcPr>
            <w:tcW w:w="0" w:type="auto"/>
          </w:tcPr>
          <w:p w14:paraId="27D62ED0"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18</w:t>
            </w:r>
          </w:p>
        </w:tc>
        <w:tc>
          <w:tcPr>
            <w:tcW w:w="2607" w:type="dxa"/>
          </w:tcPr>
          <w:p w14:paraId="5ECEAFF0"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Новрузов Р.Э.</w:t>
            </w:r>
          </w:p>
        </w:tc>
        <w:tc>
          <w:tcPr>
            <w:tcW w:w="2399" w:type="dxa"/>
          </w:tcPr>
          <w:p w14:paraId="3A4063E1"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77</w:t>
            </w:r>
          </w:p>
        </w:tc>
      </w:tr>
      <w:tr w:rsidR="00C777E8" w:rsidRPr="00B301A2" w14:paraId="47632DAC" w14:textId="77777777" w:rsidTr="00AA7AC8">
        <w:trPr>
          <w:trHeight w:val="227"/>
          <w:tblCellSpacing w:w="14" w:type="dxa"/>
        </w:trPr>
        <w:tc>
          <w:tcPr>
            <w:tcW w:w="0" w:type="auto"/>
          </w:tcPr>
          <w:p w14:paraId="03E86D98"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19</w:t>
            </w:r>
          </w:p>
        </w:tc>
        <w:tc>
          <w:tcPr>
            <w:tcW w:w="2607" w:type="dxa"/>
          </w:tcPr>
          <w:p w14:paraId="06C10756"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color w:val="000000"/>
              </w:rPr>
              <w:t>Мороз М.В.</w:t>
            </w:r>
          </w:p>
        </w:tc>
        <w:tc>
          <w:tcPr>
            <w:tcW w:w="2399" w:type="dxa"/>
          </w:tcPr>
          <w:p w14:paraId="36431AAD"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75</w:t>
            </w:r>
          </w:p>
        </w:tc>
      </w:tr>
      <w:tr w:rsidR="00C777E8" w:rsidRPr="00B301A2" w14:paraId="73C8BB24" w14:textId="77777777" w:rsidTr="00AA7AC8">
        <w:trPr>
          <w:trHeight w:val="227"/>
          <w:tblCellSpacing w:w="14" w:type="dxa"/>
        </w:trPr>
        <w:tc>
          <w:tcPr>
            <w:tcW w:w="0" w:type="auto"/>
          </w:tcPr>
          <w:p w14:paraId="42DBFC9F"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20</w:t>
            </w:r>
          </w:p>
        </w:tc>
        <w:tc>
          <w:tcPr>
            <w:tcW w:w="2607" w:type="dxa"/>
          </w:tcPr>
          <w:p w14:paraId="0C773123"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Выборная Е.Ю.</w:t>
            </w:r>
          </w:p>
        </w:tc>
        <w:tc>
          <w:tcPr>
            <w:tcW w:w="2399" w:type="dxa"/>
          </w:tcPr>
          <w:p w14:paraId="53A4C93B" w14:textId="77777777" w:rsidR="00C777E8" w:rsidRPr="00B301A2" w:rsidRDefault="00C777E8" w:rsidP="00AA7AC8">
            <w:pPr>
              <w:jc w:val="both"/>
              <w:rPr>
                <w:rFonts w:ascii="Times New Roman" w:hAnsi="Times New Roman" w:cs="Times New Roman"/>
              </w:rPr>
            </w:pPr>
            <w:r>
              <w:rPr>
                <w:rFonts w:ascii="Times New Roman" w:hAnsi="Times New Roman" w:cs="Times New Roman"/>
              </w:rPr>
              <w:t>75</w:t>
            </w:r>
          </w:p>
        </w:tc>
      </w:tr>
      <w:tr w:rsidR="00C777E8" w:rsidRPr="00B301A2" w14:paraId="01674099" w14:textId="77777777" w:rsidTr="00AA7AC8">
        <w:trPr>
          <w:trHeight w:val="227"/>
          <w:tblCellSpacing w:w="14" w:type="dxa"/>
        </w:trPr>
        <w:tc>
          <w:tcPr>
            <w:tcW w:w="0" w:type="auto"/>
          </w:tcPr>
          <w:p w14:paraId="76C044B1" w14:textId="77777777" w:rsidR="00C777E8" w:rsidRPr="00B301A2" w:rsidRDefault="00C777E8" w:rsidP="00AA7AC8">
            <w:pPr>
              <w:rPr>
                <w:rFonts w:ascii="Times New Roman" w:hAnsi="Times New Roman" w:cs="Times New Roman"/>
                <w:color w:val="000000"/>
              </w:rPr>
            </w:pPr>
            <w:r w:rsidRPr="00B301A2">
              <w:rPr>
                <w:rFonts w:ascii="Times New Roman" w:hAnsi="Times New Roman" w:cs="Times New Roman"/>
                <w:color w:val="000000"/>
              </w:rPr>
              <w:t>21</w:t>
            </w:r>
          </w:p>
        </w:tc>
        <w:tc>
          <w:tcPr>
            <w:tcW w:w="2607" w:type="dxa"/>
          </w:tcPr>
          <w:p w14:paraId="49183ACD"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Токарева Д.М.</w:t>
            </w:r>
          </w:p>
        </w:tc>
        <w:tc>
          <w:tcPr>
            <w:tcW w:w="2399" w:type="dxa"/>
          </w:tcPr>
          <w:p w14:paraId="4194B818" w14:textId="77777777" w:rsidR="00C777E8" w:rsidRPr="00B301A2" w:rsidRDefault="00C777E8" w:rsidP="00AA7AC8">
            <w:pPr>
              <w:jc w:val="both"/>
              <w:rPr>
                <w:rFonts w:ascii="Times New Roman" w:hAnsi="Times New Roman" w:cs="Times New Roman"/>
              </w:rPr>
            </w:pPr>
            <w:r>
              <w:rPr>
                <w:rFonts w:ascii="Times New Roman" w:hAnsi="Times New Roman" w:cs="Times New Roman"/>
              </w:rPr>
              <w:t>70</w:t>
            </w:r>
          </w:p>
        </w:tc>
      </w:tr>
      <w:tr w:rsidR="00C777E8" w:rsidRPr="00B301A2" w14:paraId="66327E73" w14:textId="77777777" w:rsidTr="00AA7AC8">
        <w:trPr>
          <w:trHeight w:val="227"/>
          <w:tblCellSpacing w:w="14" w:type="dxa"/>
        </w:trPr>
        <w:tc>
          <w:tcPr>
            <w:tcW w:w="0" w:type="auto"/>
          </w:tcPr>
          <w:p w14:paraId="7125D2D2" w14:textId="77777777" w:rsidR="00C777E8" w:rsidRPr="00B301A2" w:rsidRDefault="00C777E8" w:rsidP="00AA7AC8">
            <w:pPr>
              <w:rPr>
                <w:rFonts w:ascii="Times New Roman" w:hAnsi="Times New Roman" w:cs="Times New Roman"/>
                <w:color w:val="000000"/>
              </w:rPr>
            </w:pPr>
            <w:r w:rsidRPr="00B301A2">
              <w:rPr>
                <w:rFonts w:ascii="Times New Roman" w:hAnsi="Times New Roman" w:cs="Times New Roman"/>
                <w:color w:val="000000"/>
              </w:rPr>
              <w:t>22</w:t>
            </w:r>
          </w:p>
        </w:tc>
        <w:tc>
          <w:tcPr>
            <w:tcW w:w="2607" w:type="dxa"/>
          </w:tcPr>
          <w:p w14:paraId="5315A6B1"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Семочкина А.</w:t>
            </w:r>
          </w:p>
        </w:tc>
        <w:tc>
          <w:tcPr>
            <w:tcW w:w="2399" w:type="dxa"/>
          </w:tcPr>
          <w:p w14:paraId="00A8C8F8" w14:textId="77777777" w:rsidR="00C777E8" w:rsidRPr="00B301A2" w:rsidRDefault="00C777E8" w:rsidP="00AA7AC8">
            <w:pPr>
              <w:jc w:val="both"/>
              <w:rPr>
                <w:rFonts w:ascii="Times New Roman" w:hAnsi="Times New Roman" w:cs="Times New Roman"/>
              </w:rPr>
            </w:pPr>
            <w:r>
              <w:rPr>
                <w:rFonts w:ascii="Times New Roman" w:hAnsi="Times New Roman" w:cs="Times New Roman"/>
              </w:rPr>
              <w:t>70</w:t>
            </w:r>
          </w:p>
        </w:tc>
      </w:tr>
      <w:tr w:rsidR="00C777E8" w:rsidRPr="00B301A2" w14:paraId="00F67644" w14:textId="77777777" w:rsidTr="00AA7AC8">
        <w:trPr>
          <w:trHeight w:val="227"/>
          <w:tblCellSpacing w:w="14" w:type="dxa"/>
        </w:trPr>
        <w:tc>
          <w:tcPr>
            <w:tcW w:w="0" w:type="auto"/>
          </w:tcPr>
          <w:p w14:paraId="3A29F000" w14:textId="77777777" w:rsidR="00C777E8" w:rsidRPr="00B301A2" w:rsidRDefault="00C777E8" w:rsidP="00AA7AC8">
            <w:pPr>
              <w:rPr>
                <w:rFonts w:ascii="Times New Roman" w:hAnsi="Times New Roman" w:cs="Times New Roman"/>
                <w:color w:val="000000"/>
              </w:rPr>
            </w:pPr>
            <w:r w:rsidRPr="00B301A2">
              <w:rPr>
                <w:rFonts w:ascii="Times New Roman" w:hAnsi="Times New Roman" w:cs="Times New Roman"/>
                <w:color w:val="000000"/>
              </w:rPr>
              <w:t>23</w:t>
            </w:r>
          </w:p>
        </w:tc>
        <w:tc>
          <w:tcPr>
            <w:tcW w:w="2607" w:type="dxa"/>
          </w:tcPr>
          <w:p w14:paraId="75E8F65B"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Пискун А.А.</w:t>
            </w:r>
          </w:p>
        </w:tc>
        <w:tc>
          <w:tcPr>
            <w:tcW w:w="2399" w:type="dxa"/>
          </w:tcPr>
          <w:p w14:paraId="053FF068" w14:textId="77777777" w:rsidR="00C777E8" w:rsidRPr="00B301A2" w:rsidRDefault="00C777E8" w:rsidP="00AA7AC8">
            <w:pPr>
              <w:jc w:val="both"/>
              <w:rPr>
                <w:rFonts w:ascii="Times New Roman" w:hAnsi="Times New Roman" w:cs="Times New Roman"/>
              </w:rPr>
            </w:pPr>
            <w:r>
              <w:rPr>
                <w:rFonts w:ascii="Times New Roman" w:hAnsi="Times New Roman" w:cs="Times New Roman"/>
              </w:rPr>
              <w:t>60</w:t>
            </w:r>
          </w:p>
        </w:tc>
      </w:tr>
      <w:tr w:rsidR="00C777E8" w:rsidRPr="00B301A2" w14:paraId="062E70F9" w14:textId="77777777" w:rsidTr="00AA7AC8">
        <w:trPr>
          <w:trHeight w:val="227"/>
          <w:tblCellSpacing w:w="14" w:type="dxa"/>
        </w:trPr>
        <w:tc>
          <w:tcPr>
            <w:tcW w:w="0" w:type="auto"/>
          </w:tcPr>
          <w:p w14:paraId="0A23AFD3" w14:textId="77777777" w:rsidR="00C777E8" w:rsidRPr="00B301A2" w:rsidRDefault="00C777E8" w:rsidP="00AA7AC8">
            <w:pPr>
              <w:rPr>
                <w:rFonts w:ascii="Times New Roman" w:hAnsi="Times New Roman" w:cs="Times New Roman"/>
                <w:color w:val="000000"/>
              </w:rPr>
            </w:pPr>
            <w:r w:rsidRPr="00B301A2">
              <w:rPr>
                <w:rFonts w:ascii="Times New Roman" w:hAnsi="Times New Roman" w:cs="Times New Roman"/>
                <w:color w:val="000000"/>
              </w:rPr>
              <w:t>24</w:t>
            </w:r>
          </w:p>
        </w:tc>
        <w:tc>
          <w:tcPr>
            <w:tcW w:w="2607" w:type="dxa"/>
          </w:tcPr>
          <w:p w14:paraId="161CF012"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Горяева Э.Э.</w:t>
            </w:r>
          </w:p>
        </w:tc>
        <w:tc>
          <w:tcPr>
            <w:tcW w:w="2399" w:type="dxa"/>
          </w:tcPr>
          <w:p w14:paraId="6F32AD47" w14:textId="77777777" w:rsidR="00C777E8" w:rsidRPr="00B301A2" w:rsidRDefault="00C777E8" w:rsidP="00AA7AC8">
            <w:pPr>
              <w:jc w:val="both"/>
              <w:rPr>
                <w:rFonts w:ascii="Times New Roman" w:hAnsi="Times New Roman" w:cs="Times New Roman"/>
              </w:rPr>
            </w:pPr>
            <w:r>
              <w:rPr>
                <w:rFonts w:ascii="Times New Roman" w:hAnsi="Times New Roman" w:cs="Times New Roman"/>
              </w:rPr>
              <w:t>60</w:t>
            </w:r>
          </w:p>
        </w:tc>
      </w:tr>
      <w:tr w:rsidR="00C777E8" w:rsidRPr="00B301A2" w14:paraId="050E6577" w14:textId="77777777" w:rsidTr="00AA7AC8">
        <w:trPr>
          <w:trHeight w:val="227"/>
          <w:tblCellSpacing w:w="14" w:type="dxa"/>
        </w:trPr>
        <w:tc>
          <w:tcPr>
            <w:tcW w:w="0" w:type="auto"/>
          </w:tcPr>
          <w:p w14:paraId="3EB0B92E" w14:textId="77777777" w:rsidR="00C777E8" w:rsidRPr="00B301A2" w:rsidRDefault="00C777E8" w:rsidP="00AA7AC8">
            <w:pPr>
              <w:rPr>
                <w:rFonts w:ascii="Times New Roman" w:hAnsi="Times New Roman" w:cs="Times New Roman"/>
                <w:color w:val="000000"/>
              </w:rPr>
            </w:pPr>
            <w:r w:rsidRPr="00B301A2">
              <w:rPr>
                <w:rFonts w:ascii="Times New Roman" w:hAnsi="Times New Roman" w:cs="Times New Roman"/>
                <w:color w:val="000000"/>
              </w:rPr>
              <w:t>25</w:t>
            </w:r>
          </w:p>
        </w:tc>
        <w:tc>
          <w:tcPr>
            <w:tcW w:w="2607" w:type="dxa"/>
          </w:tcPr>
          <w:p w14:paraId="1CBCE072"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Шарыгина А.С.</w:t>
            </w:r>
          </w:p>
        </w:tc>
        <w:tc>
          <w:tcPr>
            <w:tcW w:w="2399" w:type="dxa"/>
          </w:tcPr>
          <w:p w14:paraId="14FB3AE0" w14:textId="77777777" w:rsidR="00C777E8" w:rsidRPr="00B301A2" w:rsidRDefault="00C777E8" w:rsidP="00AA7AC8">
            <w:pPr>
              <w:jc w:val="both"/>
              <w:rPr>
                <w:rFonts w:ascii="Times New Roman" w:hAnsi="Times New Roman" w:cs="Times New Roman"/>
              </w:rPr>
            </w:pPr>
            <w:r>
              <w:rPr>
                <w:rFonts w:ascii="Times New Roman" w:hAnsi="Times New Roman" w:cs="Times New Roman"/>
              </w:rPr>
              <w:t>55</w:t>
            </w:r>
          </w:p>
        </w:tc>
      </w:tr>
      <w:tr w:rsidR="00C777E8" w:rsidRPr="00B301A2" w14:paraId="4ABEF9B4" w14:textId="77777777" w:rsidTr="00AA7AC8">
        <w:trPr>
          <w:trHeight w:val="227"/>
          <w:tblCellSpacing w:w="14" w:type="dxa"/>
        </w:trPr>
        <w:tc>
          <w:tcPr>
            <w:tcW w:w="0" w:type="auto"/>
          </w:tcPr>
          <w:p w14:paraId="145741A7" w14:textId="77777777" w:rsidR="00C777E8" w:rsidRPr="00B301A2" w:rsidRDefault="00C777E8" w:rsidP="00AA7AC8">
            <w:pPr>
              <w:rPr>
                <w:rFonts w:ascii="Times New Roman" w:hAnsi="Times New Roman" w:cs="Times New Roman"/>
              </w:rPr>
            </w:pPr>
            <w:r w:rsidRPr="00B301A2">
              <w:rPr>
                <w:rFonts w:ascii="Times New Roman" w:hAnsi="Times New Roman" w:cs="Times New Roman"/>
              </w:rPr>
              <w:t>26</w:t>
            </w:r>
          </w:p>
        </w:tc>
        <w:tc>
          <w:tcPr>
            <w:tcW w:w="2607" w:type="dxa"/>
          </w:tcPr>
          <w:p w14:paraId="727E58B7"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Козлова Е.Е.</w:t>
            </w:r>
          </w:p>
        </w:tc>
        <w:tc>
          <w:tcPr>
            <w:tcW w:w="2399" w:type="dxa"/>
          </w:tcPr>
          <w:p w14:paraId="741E5565" w14:textId="77777777" w:rsidR="00C777E8" w:rsidRPr="00B301A2" w:rsidRDefault="00C777E8" w:rsidP="00AA7AC8">
            <w:pPr>
              <w:jc w:val="both"/>
              <w:rPr>
                <w:rFonts w:ascii="Times New Roman" w:hAnsi="Times New Roman" w:cs="Times New Roman"/>
              </w:rPr>
            </w:pPr>
            <w:r>
              <w:rPr>
                <w:rFonts w:ascii="Times New Roman" w:hAnsi="Times New Roman" w:cs="Times New Roman"/>
              </w:rPr>
              <w:t>53</w:t>
            </w:r>
          </w:p>
        </w:tc>
      </w:tr>
      <w:tr w:rsidR="00C777E8" w:rsidRPr="00B301A2" w14:paraId="65D185AC" w14:textId="77777777" w:rsidTr="00AA7AC8">
        <w:trPr>
          <w:trHeight w:val="227"/>
          <w:tblCellSpacing w:w="14" w:type="dxa"/>
        </w:trPr>
        <w:tc>
          <w:tcPr>
            <w:tcW w:w="0" w:type="auto"/>
          </w:tcPr>
          <w:p w14:paraId="1B7E4B87" w14:textId="77777777" w:rsidR="00C777E8" w:rsidRPr="00B301A2" w:rsidRDefault="00C777E8" w:rsidP="00AA7AC8">
            <w:r w:rsidRPr="00B301A2">
              <w:t>27</w:t>
            </w:r>
          </w:p>
        </w:tc>
        <w:tc>
          <w:tcPr>
            <w:tcW w:w="2607" w:type="dxa"/>
          </w:tcPr>
          <w:p w14:paraId="57244B6A"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Бернацкая А.В.</w:t>
            </w:r>
          </w:p>
        </w:tc>
        <w:tc>
          <w:tcPr>
            <w:tcW w:w="2399" w:type="dxa"/>
          </w:tcPr>
          <w:p w14:paraId="266E0564" w14:textId="77777777" w:rsidR="00C777E8" w:rsidRPr="00B301A2" w:rsidRDefault="00C777E8" w:rsidP="00AA7AC8">
            <w:pPr>
              <w:jc w:val="both"/>
              <w:rPr>
                <w:rFonts w:ascii="Times New Roman" w:hAnsi="Times New Roman" w:cs="Times New Roman"/>
              </w:rPr>
            </w:pPr>
            <w:r>
              <w:rPr>
                <w:rFonts w:ascii="Times New Roman" w:hAnsi="Times New Roman" w:cs="Times New Roman"/>
              </w:rPr>
              <w:t>48</w:t>
            </w:r>
          </w:p>
        </w:tc>
      </w:tr>
      <w:tr w:rsidR="00C777E8" w:rsidRPr="00B301A2" w14:paraId="0AC807DE" w14:textId="77777777" w:rsidTr="00AA7AC8">
        <w:trPr>
          <w:trHeight w:val="227"/>
          <w:tblCellSpacing w:w="14" w:type="dxa"/>
        </w:trPr>
        <w:tc>
          <w:tcPr>
            <w:tcW w:w="0" w:type="auto"/>
          </w:tcPr>
          <w:p w14:paraId="3202081A" w14:textId="77777777" w:rsidR="00C777E8" w:rsidRPr="00B301A2" w:rsidRDefault="00C777E8" w:rsidP="00AA7AC8">
            <w:r w:rsidRPr="00B301A2">
              <w:t>28</w:t>
            </w:r>
          </w:p>
        </w:tc>
        <w:tc>
          <w:tcPr>
            <w:tcW w:w="2607" w:type="dxa"/>
          </w:tcPr>
          <w:p w14:paraId="12FDA783"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Дорджиева О.Е.</w:t>
            </w:r>
          </w:p>
        </w:tc>
        <w:tc>
          <w:tcPr>
            <w:tcW w:w="2399" w:type="dxa"/>
          </w:tcPr>
          <w:p w14:paraId="28100CCE" w14:textId="77777777" w:rsidR="00C777E8" w:rsidRPr="00B301A2" w:rsidRDefault="00C777E8" w:rsidP="00AA7AC8">
            <w:pPr>
              <w:jc w:val="both"/>
              <w:rPr>
                <w:rFonts w:ascii="Times New Roman" w:hAnsi="Times New Roman" w:cs="Times New Roman"/>
              </w:rPr>
            </w:pPr>
            <w:r>
              <w:rPr>
                <w:rFonts w:ascii="Times New Roman" w:hAnsi="Times New Roman" w:cs="Times New Roman"/>
              </w:rPr>
              <w:t>46</w:t>
            </w:r>
          </w:p>
        </w:tc>
      </w:tr>
      <w:tr w:rsidR="00C777E8" w:rsidRPr="00B301A2" w14:paraId="24AEEED7" w14:textId="77777777" w:rsidTr="00AA7AC8">
        <w:trPr>
          <w:trHeight w:val="227"/>
          <w:tblCellSpacing w:w="14" w:type="dxa"/>
        </w:trPr>
        <w:tc>
          <w:tcPr>
            <w:tcW w:w="0" w:type="auto"/>
          </w:tcPr>
          <w:p w14:paraId="36E278A3" w14:textId="77777777" w:rsidR="00C777E8" w:rsidRPr="00B301A2" w:rsidRDefault="00C777E8" w:rsidP="00AA7AC8">
            <w:r w:rsidRPr="00B301A2">
              <w:t>29</w:t>
            </w:r>
          </w:p>
        </w:tc>
        <w:tc>
          <w:tcPr>
            <w:tcW w:w="2607" w:type="dxa"/>
          </w:tcPr>
          <w:p w14:paraId="293AC667"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Кичигина А.Д.</w:t>
            </w:r>
          </w:p>
        </w:tc>
        <w:tc>
          <w:tcPr>
            <w:tcW w:w="2399" w:type="dxa"/>
          </w:tcPr>
          <w:p w14:paraId="4EDA384E" w14:textId="77777777" w:rsidR="00C777E8" w:rsidRPr="00B301A2" w:rsidRDefault="00C777E8" w:rsidP="00AA7AC8">
            <w:pPr>
              <w:jc w:val="both"/>
              <w:rPr>
                <w:rFonts w:ascii="Times New Roman" w:hAnsi="Times New Roman" w:cs="Times New Roman"/>
              </w:rPr>
            </w:pPr>
            <w:r>
              <w:rPr>
                <w:rFonts w:ascii="Times New Roman" w:hAnsi="Times New Roman" w:cs="Times New Roman"/>
              </w:rPr>
              <w:t>42</w:t>
            </w:r>
          </w:p>
        </w:tc>
      </w:tr>
      <w:tr w:rsidR="00C777E8" w:rsidRPr="00B301A2" w14:paraId="64693DCB" w14:textId="77777777" w:rsidTr="00AA7AC8">
        <w:trPr>
          <w:trHeight w:val="227"/>
          <w:tblCellSpacing w:w="14" w:type="dxa"/>
        </w:trPr>
        <w:tc>
          <w:tcPr>
            <w:tcW w:w="0" w:type="auto"/>
          </w:tcPr>
          <w:p w14:paraId="660D7429" w14:textId="77777777" w:rsidR="00C777E8" w:rsidRPr="00B301A2" w:rsidRDefault="00C777E8" w:rsidP="00AA7AC8">
            <w:r w:rsidRPr="00B301A2">
              <w:t>30</w:t>
            </w:r>
          </w:p>
        </w:tc>
        <w:tc>
          <w:tcPr>
            <w:tcW w:w="2607" w:type="dxa"/>
          </w:tcPr>
          <w:p w14:paraId="2D2E42BB" w14:textId="77777777" w:rsidR="00C777E8" w:rsidRPr="00B301A2" w:rsidRDefault="00C777E8" w:rsidP="00AA7AC8">
            <w:pPr>
              <w:jc w:val="both"/>
              <w:rPr>
                <w:rFonts w:ascii="Times New Roman" w:hAnsi="Times New Roman" w:cs="Times New Roman"/>
              </w:rPr>
            </w:pPr>
            <w:r w:rsidRPr="00B301A2">
              <w:rPr>
                <w:rFonts w:ascii="Times New Roman" w:hAnsi="Times New Roman" w:cs="Times New Roman"/>
              </w:rPr>
              <w:t>Григорова В.А.</w:t>
            </w:r>
          </w:p>
        </w:tc>
        <w:tc>
          <w:tcPr>
            <w:tcW w:w="2399" w:type="dxa"/>
          </w:tcPr>
          <w:p w14:paraId="62C2C0BF" w14:textId="77777777" w:rsidR="00C777E8" w:rsidRPr="00B301A2" w:rsidRDefault="00C777E8" w:rsidP="00AA7AC8">
            <w:pPr>
              <w:jc w:val="both"/>
              <w:rPr>
                <w:rFonts w:ascii="Times New Roman" w:hAnsi="Times New Roman" w:cs="Times New Roman"/>
              </w:rPr>
            </w:pPr>
            <w:r>
              <w:rPr>
                <w:rFonts w:ascii="Times New Roman" w:hAnsi="Times New Roman" w:cs="Times New Roman"/>
              </w:rPr>
              <w:t>42</w:t>
            </w:r>
          </w:p>
        </w:tc>
      </w:tr>
      <w:tr w:rsidR="00C777E8" w:rsidRPr="00B301A2" w14:paraId="38D5AEA2" w14:textId="77777777" w:rsidTr="00AA7AC8">
        <w:trPr>
          <w:trHeight w:val="227"/>
          <w:tblCellSpacing w:w="14" w:type="dxa"/>
        </w:trPr>
        <w:tc>
          <w:tcPr>
            <w:tcW w:w="0" w:type="auto"/>
          </w:tcPr>
          <w:p w14:paraId="34748FDB" w14:textId="77777777" w:rsidR="00C777E8" w:rsidRPr="00B301A2" w:rsidRDefault="00C777E8" w:rsidP="00AA7AC8">
            <w:r w:rsidRPr="00B301A2">
              <w:t>31</w:t>
            </w:r>
          </w:p>
        </w:tc>
        <w:tc>
          <w:tcPr>
            <w:tcW w:w="2607" w:type="dxa"/>
            <w:tcBorders>
              <w:bottom w:val="single" w:sz="4" w:space="0" w:color="auto"/>
            </w:tcBorders>
          </w:tcPr>
          <w:p w14:paraId="76BF88BE" w14:textId="77777777" w:rsidR="00C777E8" w:rsidRPr="00B301A2" w:rsidRDefault="00C777E8" w:rsidP="00AA7AC8">
            <w:pPr>
              <w:pStyle w:val="a9"/>
              <w:jc w:val="both"/>
              <w:rPr>
                <w:color w:val="000000"/>
                <w:sz w:val="22"/>
                <w:szCs w:val="22"/>
              </w:rPr>
            </w:pPr>
            <w:r w:rsidRPr="00B301A2">
              <w:rPr>
                <w:color w:val="000000"/>
                <w:sz w:val="22"/>
                <w:szCs w:val="22"/>
              </w:rPr>
              <w:t>Агафонова М.Д.</w:t>
            </w:r>
          </w:p>
        </w:tc>
        <w:tc>
          <w:tcPr>
            <w:tcW w:w="2399" w:type="dxa"/>
          </w:tcPr>
          <w:p w14:paraId="2CEDC61A" w14:textId="77777777" w:rsidR="00C777E8" w:rsidRPr="00B301A2" w:rsidRDefault="00C777E8" w:rsidP="00AA7AC8">
            <w:pPr>
              <w:jc w:val="both"/>
              <w:rPr>
                <w:rFonts w:ascii="Times New Roman" w:hAnsi="Times New Roman" w:cs="Times New Roman"/>
              </w:rPr>
            </w:pPr>
            <w:r>
              <w:rPr>
                <w:rFonts w:ascii="Times New Roman" w:hAnsi="Times New Roman" w:cs="Times New Roman"/>
              </w:rPr>
              <w:t>35</w:t>
            </w:r>
          </w:p>
        </w:tc>
      </w:tr>
      <w:tr w:rsidR="00C777E8" w:rsidRPr="00B301A2" w14:paraId="1C712AD0" w14:textId="77777777" w:rsidTr="00AA7AC8">
        <w:trPr>
          <w:trHeight w:val="263"/>
          <w:tblCellSpacing w:w="14" w:type="dxa"/>
        </w:trPr>
        <w:tc>
          <w:tcPr>
            <w:tcW w:w="0" w:type="auto"/>
          </w:tcPr>
          <w:p w14:paraId="789958DC" w14:textId="77777777" w:rsidR="00C777E8" w:rsidRPr="00B301A2" w:rsidRDefault="00C777E8" w:rsidP="00AA7AC8">
            <w:r w:rsidRPr="00B301A2">
              <w:t>32</w:t>
            </w:r>
          </w:p>
        </w:tc>
        <w:tc>
          <w:tcPr>
            <w:tcW w:w="2607" w:type="dxa"/>
          </w:tcPr>
          <w:p w14:paraId="2DF2F239" w14:textId="77777777" w:rsidR="00C777E8" w:rsidRPr="00B301A2" w:rsidRDefault="00C777E8" w:rsidP="00AA7AC8">
            <w:pPr>
              <w:jc w:val="both"/>
              <w:rPr>
                <w:rFonts w:ascii="Times New Roman" w:hAnsi="Times New Roman" w:cs="Times New Roman"/>
              </w:rPr>
            </w:pPr>
            <w:r>
              <w:rPr>
                <w:rFonts w:ascii="Times New Roman" w:hAnsi="Times New Roman" w:cs="Times New Roman"/>
              </w:rPr>
              <w:t>Абдурахманов А.Р.</w:t>
            </w:r>
          </w:p>
        </w:tc>
        <w:tc>
          <w:tcPr>
            <w:tcW w:w="2399" w:type="dxa"/>
          </w:tcPr>
          <w:p w14:paraId="5C4349C0" w14:textId="77777777" w:rsidR="00C777E8" w:rsidRDefault="00C777E8" w:rsidP="00AA7AC8">
            <w:pPr>
              <w:jc w:val="both"/>
              <w:rPr>
                <w:rFonts w:ascii="Times New Roman" w:hAnsi="Times New Roman" w:cs="Times New Roman"/>
              </w:rPr>
            </w:pPr>
            <w:r>
              <w:rPr>
                <w:rFonts w:ascii="Times New Roman" w:hAnsi="Times New Roman" w:cs="Times New Roman"/>
              </w:rPr>
              <w:t>25</w:t>
            </w:r>
          </w:p>
        </w:tc>
      </w:tr>
      <w:tr w:rsidR="00C777E8" w:rsidRPr="00B301A2" w14:paraId="0AF1C29B" w14:textId="77777777" w:rsidTr="00AA7AC8">
        <w:trPr>
          <w:trHeight w:val="227"/>
          <w:tblCellSpacing w:w="14" w:type="dxa"/>
        </w:trPr>
        <w:tc>
          <w:tcPr>
            <w:tcW w:w="0" w:type="auto"/>
          </w:tcPr>
          <w:p w14:paraId="3C841BCB" w14:textId="77777777" w:rsidR="00C777E8" w:rsidRPr="00B301A2" w:rsidRDefault="00C777E8" w:rsidP="00AA7AC8">
            <w:r w:rsidRPr="00B301A2">
              <w:t>33</w:t>
            </w:r>
          </w:p>
        </w:tc>
        <w:tc>
          <w:tcPr>
            <w:tcW w:w="2607" w:type="dxa"/>
            <w:tcBorders>
              <w:bottom w:val="single" w:sz="4" w:space="0" w:color="auto"/>
            </w:tcBorders>
          </w:tcPr>
          <w:p w14:paraId="332B175C" w14:textId="77777777" w:rsidR="00C777E8" w:rsidRPr="00B301A2" w:rsidRDefault="00C777E8" w:rsidP="00AA7AC8">
            <w:pPr>
              <w:pStyle w:val="a9"/>
              <w:jc w:val="both"/>
              <w:rPr>
                <w:sz w:val="22"/>
                <w:szCs w:val="22"/>
              </w:rPr>
            </w:pPr>
            <w:r>
              <w:rPr>
                <w:sz w:val="22"/>
                <w:szCs w:val="22"/>
              </w:rPr>
              <w:t>Сидорова И.Г.</w:t>
            </w:r>
          </w:p>
        </w:tc>
        <w:tc>
          <w:tcPr>
            <w:tcW w:w="2399" w:type="dxa"/>
          </w:tcPr>
          <w:p w14:paraId="172BEB62" w14:textId="77777777" w:rsidR="00C777E8" w:rsidRDefault="00C777E8" w:rsidP="00AA7AC8">
            <w:pPr>
              <w:jc w:val="both"/>
              <w:rPr>
                <w:rFonts w:ascii="Times New Roman" w:hAnsi="Times New Roman" w:cs="Times New Roman"/>
              </w:rPr>
            </w:pPr>
            <w:r>
              <w:rPr>
                <w:rFonts w:ascii="Times New Roman" w:hAnsi="Times New Roman" w:cs="Times New Roman"/>
              </w:rPr>
              <w:t>20</w:t>
            </w:r>
          </w:p>
        </w:tc>
      </w:tr>
      <w:tr w:rsidR="00C777E8" w:rsidRPr="00B301A2" w14:paraId="2FAFB09C" w14:textId="77777777" w:rsidTr="00AA7AC8">
        <w:trPr>
          <w:trHeight w:val="227"/>
          <w:tblCellSpacing w:w="14" w:type="dxa"/>
        </w:trPr>
        <w:tc>
          <w:tcPr>
            <w:tcW w:w="0" w:type="auto"/>
          </w:tcPr>
          <w:p w14:paraId="77C36A07" w14:textId="77777777" w:rsidR="00C777E8" w:rsidRPr="00B301A2" w:rsidRDefault="00C777E8" w:rsidP="00AA7AC8">
            <w:r w:rsidRPr="00B301A2">
              <w:t>34</w:t>
            </w:r>
          </w:p>
        </w:tc>
        <w:tc>
          <w:tcPr>
            <w:tcW w:w="2607" w:type="dxa"/>
            <w:tcBorders>
              <w:top w:val="single" w:sz="4" w:space="0" w:color="auto"/>
            </w:tcBorders>
          </w:tcPr>
          <w:p w14:paraId="1EC797D0" w14:textId="77777777" w:rsidR="00C777E8" w:rsidRPr="00B301A2" w:rsidRDefault="00C777E8" w:rsidP="00AA7AC8">
            <w:pPr>
              <w:pStyle w:val="a9"/>
              <w:jc w:val="both"/>
              <w:rPr>
                <w:sz w:val="22"/>
                <w:szCs w:val="22"/>
              </w:rPr>
            </w:pPr>
            <w:r>
              <w:rPr>
                <w:sz w:val="22"/>
                <w:szCs w:val="22"/>
              </w:rPr>
              <w:t>Постивая В.В.</w:t>
            </w:r>
          </w:p>
        </w:tc>
        <w:tc>
          <w:tcPr>
            <w:tcW w:w="2399" w:type="dxa"/>
          </w:tcPr>
          <w:p w14:paraId="6A17D768" w14:textId="77777777" w:rsidR="00C777E8" w:rsidRDefault="00C777E8" w:rsidP="00AA7AC8">
            <w:pPr>
              <w:jc w:val="both"/>
              <w:rPr>
                <w:rFonts w:ascii="Times New Roman" w:hAnsi="Times New Roman" w:cs="Times New Roman"/>
              </w:rPr>
            </w:pPr>
            <w:r>
              <w:rPr>
                <w:rFonts w:ascii="Times New Roman" w:hAnsi="Times New Roman" w:cs="Times New Roman"/>
              </w:rPr>
              <w:t>0</w:t>
            </w:r>
          </w:p>
        </w:tc>
      </w:tr>
    </w:tbl>
    <w:p w14:paraId="6941F14C" w14:textId="77777777" w:rsidR="00080026" w:rsidRDefault="00080026" w:rsidP="00080026">
      <w:pPr>
        <w:spacing w:after="0" w:line="240" w:lineRule="auto"/>
        <w:ind w:firstLine="709"/>
        <w:jc w:val="right"/>
        <w:rPr>
          <w:rFonts w:ascii="Times New Roman" w:hAnsi="Times New Roman" w:cs="Times New Roman"/>
          <w:sz w:val="28"/>
          <w:szCs w:val="28"/>
        </w:rPr>
      </w:pPr>
    </w:p>
    <w:p w14:paraId="08133C5E" w14:textId="38C3FEC1" w:rsidR="00CA7E89" w:rsidRDefault="00CA7E89">
      <w:pPr>
        <w:rPr>
          <w:rFonts w:ascii="Times New Roman" w:hAnsi="Times New Roman" w:cs="Times New Roman"/>
          <w:sz w:val="28"/>
          <w:szCs w:val="28"/>
        </w:rPr>
      </w:pPr>
      <w:r>
        <w:rPr>
          <w:rFonts w:ascii="Times New Roman" w:hAnsi="Times New Roman" w:cs="Times New Roman"/>
          <w:sz w:val="28"/>
          <w:szCs w:val="28"/>
        </w:rPr>
        <w:br w:type="page"/>
      </w:r>
    </w:p>
    <w:p w14:paraId="52110D73" w14:textId="489DCBF4" w:rsidR="00080026" w:rsidRPr="00D64C29" w:rsidRDefault="00CA7E89" w:rsidP="00D64C29">
      <w:pPr>
        <w:pStyle w:val="a3"/>
        <w:ind w:firstLine="709"/>
        <w:jc w:val="both"/>
        <w:rPr>
          <w:rFonts w:ascii="Times New Roman" w:hAnsi="Times New Roman" w:cs="Times New Roman"/>
          <w:sz w:val="28"/>
          <w:szCs w:val="28"/>
        </w:rPr>
      </w:pPr>
      <w:r w:rsidRPr="00CA7E89">
        <w:rPr>
          <w:rFonts w:ascii="Times New Roman" w:hAnsi="Times New Roman" w:cs="Times New Roman"/>
          <w:sz w:val="28"/>
          <w:szCs w:val="28"/>
        </w:rPr>
        <w:lastRenderedPageBreak/>
        <w:drawing>
          <wp:inline distT="0" distB="0" distL="0" distR="0" wp14:anchorId="68A6334B" wp14:editId="43DADE87">
            <wp:extent cx="5940425" cy="444182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4441825"/>
                    </a:xfrm>
                    <a:prstGeom prst="rect">
                      <a:avLst/>
                    </a:prstGeom>
                  </pic:spPr>
                </pic:pic>
              </a:graphicData>
            </a:graphic>
          </wp:inline>
        </w:drawing>
      </w:r>
    </w:p>
    <w:sectPr w:rsidR="00080026" w:rsidRPr="00D64C29">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066BD" w14:textId="77777777" w:rsidR="0025419A" w:rsidRDefault="0025419A" w:rsidP="00A20322">
      <w:pPr>
        <w:spacing w:after="0" w:line="240" w:lineRule="auto"/>
      </w:pPr>
      <w:r>
        <w:separator/>
      </w:r>
    </w:p>
  </w:endnote>
  <w:endnote w:type="continuationSeparator" w:id="0">
    <w:p w14:paraId="6C0A6607" w14:textId="77777777" w:rsidR="0025419A" w:rsidRDefault="0025419A" w:rsidP="00A20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4037095"/>
      <w:docPartObj>
        <w:docPartGallery w:val="Page Numbers (Bottom of Page)"/>
        <w:docPartUnique/>
      </w:docPartObj>
    </w:sdtPr>
    <w:sdtContent>
      <w:p w14:paraId="5B10C7FA" w14:textId="5448D1A0" w:rsidR="00A20322" w:rsidRDefault="00A20322">
        <w:pPr>
          <w:pStyle w:val="a6"/>
          <w:jc w:val="right"/>
        </w:pPr>
        <w:r>
          <w:fldChar w:fldCharType="begin"/>
        </w:r>
        <w:r>
          <w:instrText>PAGE   \* MERGEFORMAT</w:instrText>
        </w:r>
        <w:r>
          <w:fldChar w:fldCharType="separate"/>
        </w:r>
        <w:r w:rsidR="00EF04B7">
          <w:rPr>
            <w:noProof/>
          </w:rPr>
          <w:t>1</w:t>
        </w:r>
        <w:r>
          <w:fldChar w:fldCharType="end"/>
        </w:r>
      </w:p>
    </w:sdtContent>
  </w:sdt>
  <w:p w14:paraId="49C84904" w14:textId="77777777" w:rsidR="00A20322" w:rsidRDefault="00A2032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EB11E" w14:textId="77777777" w:rsidR="0025419A" w:rsidRDefault="0025419A" w:rsidP="00A20322">
      <w:pPr>
        <w:spacing w:after="0" w:line="240" w:lineRule="auto"/>
      </w:pPr>
      <w:r>
        <w:separator/>
      </w:r>
    </w:p>
  </w:footnote>
  <w:footnote w:type="continuationSeparator" w:id="0">
    <w:p w14:paraId="787FD4E7" w14:textId="77777777" w:rsidR="0025419A" w:rsidRDefault="0025419A" w:rsidP="00A203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507"/>
    <w:rsid w:val="0004014C"/>
    <w:rsid w:val="0006296F"/>
    <w:rsid w:val="00080026"/>
    <w:rsid w:val="00087861"/>
    <w:rsid w:val="000F6B90"/>
    <w:rsid w:val="00172D9B"/>
    <w:rsid w:val="00177AF8"/>
    <w:rsid w:val="001B7532"/>
    <w:rsid w:val="002000A2"/>
    <w:rsid w:val="0022725C"/>
    <w:rsid w:val="0025419A"/>
    <w:rsid w:val="004C0C97"/>
    <w:rsid w:val="00580D57"/>
    <w:rsid w:val="0061252F"/>
    <w:rsid w:val="006D422D"/>
    <w:rsid w:val="006E2541"/>
    <w:rsid w:val="006F29B0"/>
    <w:rsid w:val="00704ACC"/>
    <w:rsid w:val="00725B6E"/>
    <w:rsid w:val="00814507"/>
    <w:rsid w:val="008F4C77"/>
    <w:rsid w:val="00963A55"/>
    <w:rsid w:val="00A20322"/>
    <w:rsid w:val="00B2163C"/>
    <w:rsid w:val="00B972F3"/>
    <w:rsid w:val="00C31632"/>
    <w:rsid w:val="00C777E8"/>
    <w:rsid w:val="00CA7E89"/>
    <w:rsid w:val="00D43066"/>
    <w:rsid w:val="00D64C29"/>
    <w:rsid w:val="00D84ED7"/>
    <w:rsid w:val="00E72073"/>
    <w:rsid w:val="00EF04B7"/>
    <w:rsid w:val="00FE6EB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3A32B"/>
  <w15:chartTrackingRefBased/>
  <w15:docId w15:val="{758A2A39-5093-4F4B-8655-0B5EDA6B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29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296F"/>
    <w:pPr>
      <w:spacing w:after="0" w:line="240" w:lineRule="auto"/>
    </w:pPr>
  </w:style>
  <w:style w:type="paragraph" w:styleId="a4">
    <w:name w:val="header"/>
    <w:basedOn w:val="a"/>
    <w:link w:val="a5"/>
    <w:uiPriority w:val="99"/>
    <w:unhideWhenUsed/>
    <w:rsid w:val="00A2032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20322"/>
  </w:style>
  <w:style w:type="paragraph" w:styleId="a6">
    <w:name w:val="footer"/>
    <w:basedOn w:val="a"/>
    <w:link w:val="a7"/>
    <w:uiPriority w:val="99"/>
    <w:unhideWhenUsed/>
    <w:rsid w:val="00A2032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20322"/>
  </w:style>
  <w:style w:type="table" w:styleId="a8">
    <w:name w:val="Table Grid"/>
    <w:basedOn w:val="a1"/>
    <w:uiPriority w:val="39"/>
    <w:rsid w:val="00C7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C777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77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1893</Words>
  <Characters>10793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Аркадий Паровозов</dc:creator>
  <cp:keywords/>
  <dc:description/>
  <cp:lastModifiedBy>User</cp:lastModifiedBy>
  <cp:revision>2</cp:revision>
  <dcterms:created xsi:type="dcterms:W3CDTF">2023-06-18T23:04:00Z</dcterms:created>
  <dcterms:modified xsi:type="dcterms:W3CDTF">2023-06-18T23:04:00Z</dcterms:modified>
</cp:coreProperties>
</file>