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2"/>
          <w:shd w:fill="FFFFFF" w:val="clear"/>
        </w:rPr>
        <w:t xml:space="preserve">Описание работы в модуле 6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Роль юристов и де факто имплементация. Стратегические судебные тяжбы. Методы применения МСПЧ в судебной защите и в формировании правовой политики в государстве.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Модуль служит повышению осведомленности студентов относительно той роли, которую играют юристы в процессе де факто имплементации. 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Цель модуля  – научить применять правовую концепцию прав человека в повседневной работе юристов. Убежденность, знания и навыки помогут преодолеть негативное или скептическое отношение к нормам международного права. Такой подход еще нередко демонстрируется теми, кто осуществляет правосудие или отвечает за состояние  прав человека в стране.  Добиться успеха помогает понимание миссии: юристы, умело и целенаправленно применяющие концепцию прав человека и международные стандарты, формируют новое отношение к правам человека со стороны государственных органов и гражданского общества, осуществляют де факто имплементацию.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Материалы модуля сфокусированы на теоретических доктринах, раскрывающих проблемы статуса личности в международном праве прав человека,  а также на практических аспектах работы с МСПЧ в целях повышения эффективности имплементации международного права.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Порядок работы в модуле: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Проанализируйте рисунок, изображающий субъектов международного права. Какие из субъектов имеют отношение к международному праву прав человека?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первую лекции модуля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Индивиды: статус в международном праве прав человека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Arial" w:hAnsi="Arial" w:cs="Arial" w:eastAsia="Arial"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вторую лекции модуля 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Правозащитники – международный мандат и внутригосударственный статус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4. 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Изучите пример работы по признанию статуса Правозащитник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Принципы, касающиеся статуса национальных учреждений, занимающихся поощрением и защитой прав человека [Парижские принципы] (Приложение к резолюции 48/134 Генеральной Ассамблеи от 20 декабря 1993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i/>
          <w:color w:val="00000A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Примите участие в обсуждении в форуме: </w:t>
      </w:r>
      <w:r>
        <w:rPr>
          <w:rFonts w:ascii="Arial" w:hAnsi="Arial" w:cs="Arial" w:eastAsia="Arial"/>
          <w:i/>
          <w:color w:val="00000A"/>
          <w:spacing w:val="0"/>
          <w:position w:val="0"/>
          <w:sz w:val="22"/>
          <w:shd w:fill="auto" w:val="clear"/>
        </w:rPr>
        <w:t xml:space="preserve">Существуют ли, по Вашему мнению, в Вашей стране учреждения, занимающиеся поощрением и защитой прав человека  в смысле  Парижских принципов? Были ли случаи, когда Вы или Ваши коллеги(клиенты) обращались в эти учреждения? Насколько эффективными являются эти учреждения в Вашей стране? Рассматриваете ли Вы эти учреждения в качестве ресурса, пригодного для повышения эффективности защиты прав человека в Вашей стране?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00000A"/>
          <w:spacing w:val="0"/>
          <w:position w:val="0"/>
          <w:sz w:val="22"/>
          <w:shd w:fill="auto" w:val="clear"/>
        </w:rPr>
        <w:t xml:space="preserve">7. </w:t>
      </w:r>
      <w:r>
        <w:rPr>
          <w:rFonts w:ascii="Arial" w:hAnsi="Arial" w:cs="Arial" w:eastAsia="Arial"/>
          <w:color w:val="00000A"/>
          <w:spacing w:val="0"/>
          <w:position w:val="0"/>
          <w:sz w:val="22"/>
          <w:shd w:fill="auto" w:val="clear"/>
        </w:rPr>
        <w:t xml:space="preserve">Прочтите часть третью лекции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Правозащитная роль адвокатов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8.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Изучите оглавление издания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защиту общественных интересов: руководство для юристов и правозащитников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ознакомьтесь с теми разделами, которые помогают в Вашей работе над творческим заданием. </w:t>
      </w:r>
      <w:r>
        <w:rPr>
          <w:rFonts w:ascii="Arial" w:hAnsi="Arial" w:cs="Arial" w:eastAsia="Arial"/>
          <w:color w:val="00000A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A"/>
          <w:spacing w:val="0"/>
          <w:position w:val="0"/>
          <w:sz w:val="22"/>
          <w:shd w:fill="auto" w:val="clear"/>
        </w:rPr>
        <w:t xml:space="preserve">В защиту общественных интересов: руководство для юристов и правозащитников</w:t>
      </w:r>
      <w:r>
        <w:rPr>
          <w:rFonts w:ascii="Arial" w:hAnsi="Arial" w:cs="Arial" w:eastAsia="Arial"/>
          <w:color w:val="00000A"/>
          <w:spacing w:val="0"/>
          <w:position w:val="0"/>
          <w:sz w:val="22"/>
          <w:shd w:fill="auto" w:val="clear"/>
        </w:rPr>
        <w:t xml:space="preserve">» / </w:t>
      </w:r>
      <w:r>
        <w:rPr>
          <w:rFonts w:ascii="Arial" w:hAnsi="Arial" w:cs="Arial" w:eastAsia="Arial"/>
          <w:color w:val="00000A"/>
          <w:spacing w:val="0"/>
          <w:position w:val="0"/>
          <w:sz w:val="22"/>
          <w:shd w:fill="auto" w:val="clear"/>
        </w:rPr>
        <w:t xml:space="preserve">Под ред. Э. Рекоша, К. Бучко, В. Терзиевой, Д. Шабельникова; пер. с англ. Д. Б. Шабельников; науч. ред., пер. Н. М. Кипнис. М.: Юристъ, 2004.  506 с. ISBN 5-7975-0704-8. </w:t>
      </w:r>
      <w:hyperlink xmlns:r="http://schemas.openxmlformats.org/officeDocument/2006/relationships" r:id="docRId0">
        <w:r>
          <w:rPr>
            <w:rFonts w:ascii="Arial" w:hAnsi="Arial" w:cs="Arial" w:eastAsia="Arial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http://www.lawtrend.org/ru/content/development/posobie1/?lawtrendorg=lzjvigibf</w:t>
        </w:r>
      </w:hyperlink>
    </w:p>
    <w:p>
      <w:pPr>
        <w:spacing w:before="100" w:after="100" w:line="240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A"/>
          <w:spacing w:val="0"/>
          <w:position w:val="0"/>
          <w:sz w:val="22"/>
          <w:shd w:fill="auto" w:val="clear"/>
        </w:rPr>
        <w:t xml:space="preserve">9. </w:t>
      </w:r>
      <w:r>
        <w:rPr>
          <w:rFonts w:ascii="Arial" w:hAnsi="Arial" w:cs="Arial" w:eastAsia="Arial"/>
          <w:color w:val="00000A"/>
          <w:spacing w:val="0"/>
          <w:position w:val="0"/>
          <w:sz w:val="22"/>
          <w:shd w:fill="auto" w:val="clear"/>
        </w:rPr>
        <w:t xml:space="preserve">Прочтите часть четвертую лекции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Методы применения МСПЧ в судебной защите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10.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Изучите пример индивидуального обарщения в Комитет ООН по правам человека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модуля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Мягкое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право: практика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Примите участие в дискуссии: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Играют ли какую-либо роль документы "мягкого права" в процессе внутригосударстввенного правоприменения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третью лекции модуля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- МСПЧ и легитимность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7.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статью Карин Беше Головко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Россия: государство и суверенитет versus общество и легитимность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8.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четвертую лекции модуля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-  Доктрина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самоисполнимости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» (self-executing treaties)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9. 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пятую лекции модуля -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МСПЧ как средство преодоления проблемы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дефицита содержательности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10.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Используйте информацию, полученную в ходе изучения материалов модуля 5 при подготовке творческих заданий (см. модуль 3).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www.lawtrend.org/ru/content/development/posobie1/?lawtrendorg=lzjvigibf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