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38E5" w:rsidRDefault="008A38E5" w:rsidP="008A38E5">
      <w:pPr>
        <w:tabs>
          <w:tab w:val="left" w:pos="2250"/>
          <w:tab w:val="right" w:pos="8373"/>
        </w:tabs>
        <w:ind w:right="543"/>
        <w:jc w:val="both"/>
        <w:rPr>
          <w:rFonts w:ascii="Verdana" w:hAnsi="Verdana"/>
          <w:b/>
          <w:sz w:val="40"/>
          <w:szCs w:val="40"/>
        </w:rPr>
      </w:pPr>
      <w:r w:rsidRPr="00A874DA">
        <w:rPr>
          <w:rFonts w:ascii="Verdana" w:hAnsi="Verdana"/>
          <w:b/>
          <w:sz w:val="40"/>
          <w:szCs w:val="40"/>
          <w:u w:val="single"/>
        </w:rPr>
        <w:t>UNIT 3</w:t>
      </w:r>
      <w:r>
        <w:rPr>
          <w:rFonts w:ascii="Verdana" w:hAnsi="Verdana"/>
          <w:b/>
          <w:sz w:val="40"/>
          <w:szCs w:val="40"/>
          <w:u w:val="single"/>
        </w:rPr>
        <w:t xml:space="preserve"> Outline</w:t>
      </w:r>
      <w:r w:rsidRPr="00A874DA">
        <w:rPr>
          <w:rFonts w:ascii="Verdana" w:hAnsi="Verdana"/>
          <w:b/>
          <w:sz w:val="40"/>
          <w:szCs w:val="40"/>
          <w:u w:val="single"/>
        </w:rPr>
        <w:t>:</w:t>
      </w:r>
      <w:r w:rsidRPr="00A874DA">
        <w:rPr>
          <w:rFonts w:ascii="Verdana" w:hAnsi="Verdana"/>
          <w:b/>
          <w:sz w:val="40"/>
          <w:szCs w:val="40"/>
        </w:rPr>
        <w:t xml:space="preserve"> </w:t>
      </w:r>
    </w:p>
    <w:p w:rsidR="008A38E5" w:rsidRDefault="008A38E5" w:rsidP="008A38E5">
      <w:pPr>
        <w:tabs>
          <w:tab w:val="left" w:pos="2250"/>
          <w:tab w:val="right" w:pos="8373"/>
        </w:tabs>
        <w:ind w:right="543"/>
        <w:rPr>
          <w:rFonts w:ascii="Verdana" w:hAnsi="Verdana"/>
          <w:b/>
          <w:sz w:val="40"/>
          <w:szCs w:val="40"/>
        </w:rPr>
      </w:pPr>
      <w:r w:rsidRPr="00A874DA">
        <w:rPr>
          <w:rFonts w:ascii="Verdana" w:hAnsi="Verdana"/>
          <w:b/>
          <w:bCs/>
          <w:sz w:val="40"/>
          <w:szCs w:val="40"/>
        </w:rPr>
        <w:t>Dispute Resolution in the</w:t>
      </w:r>
      <w:r>
        <w:rPr>
          <w:rFonts w:ascii="Verdana" w:hAnsi="Verdana"/>
          <w:b/>
          <w:bCs/>
          <w:sz w:val="40"/>
          <w:szCs w:val="40"/>
        </w:rPr>
        <w:t xml:space="preserve"> </w:t>
      </w:r>
      <w:r w:rsidRPr="00A874DA">
        <w:rPr>
          <w:rFonts w:ascii="Verdana" w:hAnsi="Verdana"/>
          <w:b/>
          <w:bCs/>
          <w:sz w:val="40"/>
          <w:szCs w:val="40"/>
        </w:rPr>
        <w:t>WTO</w:t>
      </w:r>
      <w:r>
        <w:rPr>
          <w:rFonts w:ascii="Verdana" w:hAnsi="Verdana"/>
          <w:b/>
          <w:sz w:val="40"/>
          <w:szCs w:val="40"/>
        </w:rPr>
        <w:t xml:space="preserve"> </w:t>
      </w:r>
    </w:p>
    <w:p w:rsidR="008A38E5" w:rsidRDefault="008A38E5" w:rsidP="008A38E5">
      <w:pPr>
        <w:tabs>
          <w:tab w:val="left" w:pos="2250"/>
          <w:tab w:val="right" w:pos="8373"/>
        </w:tabs>
        <w:ind w:right="543"/>
        <w:jc w:val="both"/>
        <w:rPr>
          <w:rFonts w:ascii="Verdana" w:hAnsi="Verdana"/>
          <w:b/>
          <w:sz w:val="40"/>
          <w:szCs w:val="40"/>
        </w:rPr>
      </w:pPr>
    </w:p>
    <w:p w:rsidR="008A38E5" w:rsidRDefault="008A38E5" w:rsidP="008A38E5">
      <w:pPr>
        <w:jc w:val="both"/>
        <w:rPr>
          <w:rFonts w:ascii="Verdana" w:hAnsi="Verdana"/>
          <w:bCs/>
          <w:sz w:val="24"/>
          <w:u w:val="single"/>
        </w:rPr>
      </w:pPr>
    </w:p>
    <w:p w:rsidR="008A38E5" w:rsidRDefault="008A38E5" w:rsidP="008A38E5">
      <w:pPr>
        <w:jc w:val="both"/>
        <w:rPr>
          <w:rFonts w:ascii="Verdana" w:hAnsi="Verdana"/>
          <w:bCs/>
          <w:sz w:val="24"/>
          <w:u w:val="single"/>
        </w:rPr>
      </w:pPr>
    </w:p>
    <w:p w:rsidR="008A38E5" w:rsidRPr="00A72AEE" w:rsidRDefault="008A38E5" w:rsidP="008A38E5">
      <w:pPr>
        <w:jc w:val="both"/>
        <w:rPr>
          <w:rFonts w:ascii="Verdana" w:hAnsi="Verdana"/>
          <w:b/>
          <w:sz w:val="32"/>
          <w:szCs w:val="32"/>
        </w:rPr>
      </w:pPr>
      <w:r w:rsidRPr="00A72AEE">
        <w:rPr>
          <w:rFonts w:ascii="Verdana" w:hAnsi="Verdana"/>
          <w:b/>
          <w:bCs/>
          <w:sz w:val="32"/>
          <w:szCs w:val="32"/>
        </w:rPr>
        <w:t>THE SETTLEMENT OF DISPUTES</w:t>
      </w:r>
    </w:p>
    <w:p w:rsidR="008A38E5" w:rsidRPr="006D5431" w:rsidRDefault="008A38E5" w:rsidP="008A38E5">
      <w:pPr>
        <w:ind w:left="1440"/>
        <w:jc w:val="both"/>
        <w:rPr>
          <w:rFonts w:ascii="Verdana" w:hAnsi="Verdana"/>
          <w:bCs/>
          <w:sz w:val="24"/>
          <w:u w:val="single"/>
        </w:rPr>
      </w:pPr>
    </w:p>
    <w:p w:rsidR="008A38E5" w:rsidRPr="006D5431" w:rsidRDefault="008A38E5" w:rsidP="008A38E5">
      <w:pPr>
        <w:jc w:val="both"/>
        <w:rPr>
          <w:rFonts w:ascii="Verdana" w:hAnsi="Verdana"/>
          <w:sz w:val="24"/>
        </w:rPr>
      </w:pPr>
      <w:r w:rsidRPr="006D5431">
        <w:rPr>
          <w:rFonts w:ascii="Verdana" w:hAnsi="Verdana"/>
          <w:bCs/>
          <w:sz w:val="24"/>
        </w:rPr>
        <w:t>The Dispute Settlement Understanding (DSU) is in Annexe 2 to the Agreement Establishing the World Trade Organisation (in force Jan 1995).</w:t>
      </w:r>
      <w:r>
        <w:rPr>
          <w:rFonts w:ascii="Verdana" w:hAnsi="Verdana"/>
          <w:bCs/>
          <w:sz w:val="24"/>
        </w:rPr>
        <w:t xml:space="preserve">  </w:t>
      </w:r>
      <w:r w:rsidRPr="006D5431">
        <w:rPr>
          <w:rFonts w:ascii="Verdana" w:hAnsi="Verdana"/>
          <w:sz w:val="24"/>
        </w:rPr>
        <w:t>All members submit to the dispute resolution mechanism.</w:t>
      </w:r>
    </w:p>
    <w:p w:rsidR="008A38E5" w:rsidRDefault="008A38E5" w:rsidP="008A38E5">
      <w:pPr>
        <w:jc w:val="both"/>
        <w:rPr>
          <w:rFonts w:ascii="Verdana" w:hAnsi="Verdana"/>
          <w:sz w:val="24"/>
        </w:rPr>
      </w:pPr>
    </w:p>
    <w:p w:rsidR="008A38E5" w:rsidRPr="006D5431" w:rsidRDefault="008A38E5" w:rsidP="008A38E5">
      <w:pPr>
        <w:jc w:val="both"/>
        <w:rPr>
          <w:rFonts w:ascii="Verdana" w:hAnsi="Verdana"/>
          <w:sz w:val="24"/>
        </w:rPr>
      </w:pPr>
      <w:r w:rsidRPr="006D5431">
        <w:rPr>
          <w:rFonts w:ascii="Verdana" w:hAnsi="Verdana"/>
          <w:sz w:val="24"/>
        </w:rPr>
        <w:t>The 1947 GATT procedures were regarded as unsatisfactory; the Uruguay Round Agreement introduced a more structured process</w:t>
      </w:r>
    </w:p>
    <w:p w:rsidR="008A38E5" w:rsidRPr="006D5431" w:rsidRDefault="008A38E5" w:rsidP="008A38E5">
      <w:pPr>
        <w:numPr>
          <w:ilvl w:val="0"/>
          <w:numId w:val="3"/>
        </w:numPr>
        <w:jc w:val="both"/>
        <w:rPr>
          <w:rFonts w:ascii="Verdana" w:hAnsi="Verdana"/>
          <w:sz w:val="24"/>
        </w:rPr>
      </w:pPr>
      <w:r w:rsidRPr="006D5431">
        <w:rPr>
          <w:rFonts w:ascii="Verdana" w:hAnsi="Verdana"/>
          <w:sz w:val="24"/>
        </w:rPr>
        <w:t>a dispute arises when a WTO Member or members adopt a trade policy measure that another Member believes to be contrary to the rules set out in one of the WTO Agreements</w:t>
      </w:r>
    </w:p>
    <w:p w:rsidR="008A38E5" w:rsidRPr="006D5431" w:rsidRDefault="008A38E5" w:rsidP="008A38E5">
      <w:pPr>
        <w:numPr>
          <w:ilvl w:val="0"/>
          <w:numId w:val="3"/>
        </w:numPr>
        <w:jc w:val="both"/>
        <w:rPr>
          <w:rFonts w:ascii="Verdana" w:hAnsi="Verdana"/>
          <w:sz w:val="24"/>
        </w:rPr>
      </w:pPr>
      <w:r w:rsidRPr="006D5431">
        <w:rPr>
          <w:rFonts w:ascii="Verdana" w:hAnsi="Verdana"/>
          <w:sz w:val="24"/>
        </w:rPr>
        <w:t>in such a case, a Member is entitled to invoke the dispute settlement system in order to challenge that measure</w:t>
      </w:r>
    </w:p>
    <w:p w:rsidR="008A38E5" w:rsidRPr="006D5431" w:rsidRDefault="008A38E5" w:rsidP="008A38E5">
      <w:pPr>
        <w:numPr>
          <w:ilvl w:val="0"/>
          <w:numId w:val="3"/>
        </w:numPr>
        <w:jc w:val="both"/>
        <w:rPr>
          <w:rFonts w:ascii="Verdana" w:hAnsi="Verdana"/>
          <w:sz w:val="24"/>
        </w:rPr>
      </w:pPr>
      <w:r w:rsidRPr="006D5431">
        <w:rPr>
          <w:rFonts w:ascii="Verdana" w:hAnsi="Verdana"/>
          <w:sz w:val="24"/>
        </w:rPr>
        <w:t>The stages in the process are subject to detailed procedural rules, and strict time limits</w:t>
      </w:r>
    </w:p>
    <w:p w:rsidR="008A38E5" w:rsidRPr="006D5431" w:rsidRDefault="008A38E5" w:rsidP="008A38E5">
      <w:pPr>
        <w:numPr>
          <w:ilvl w:val="0"/>
          <w:numId w:val="3"/>
        </w:numPr>
        <w:jc w:val="both"/>
        <w:rPr>
          <w:rFonts w:ascii="Verdana" w:hAnsi="Verdana"/>
          <w:sz w:val="24"/>
        </w:rPr>
      </w:pPr>
      <w:r w:rsidRPr="006D5431">
        <w:rPr>
          <w:rFonts w:ascii="Verdana" w:hAnsi="Verdana"/>
          <w:sz w:val="24"/>
        </w:rPr>
        <w:t>Unlike a normal court procedure enforcement of judgments does not exist. Instead there are procedures that are designed to secure compensation, and/or licence retaliation.</w:t>
      </w:r>
    </w:p>
    <w:p w:rsidR="008A38E5" w:rsidRDefault="008A38E5" w:rsidP="008A38E5">
      <w:pPr>
        <w:rPr>
          <w:rFonts w:ascii="Verdana" w:hAnsi="Verdana"/>
          <w:b/>
          <w:sz w:val="24"/>
        </w:rPr>
      </w:pPr>
    </w:p>
    <w:p w:rsidR="008A38E5" w:rsidRPr="007C5B61" w:rsidRDefault="008A38E5" w:rsidP="008A38E5">
      <w:pPr>
        <w:rPr>
          <w:rFonts w:ascii="Verdana" w:hAnsi="Verdana"/>
          <w:b/>
          <w:sz w:val="24"/>
        </w:rPr>
      </w:pPr>
      <w:r w:rsidRPr="007C5B61">
        <w:rPr>
          <w:rFonts w:ascii="Verdana" w:hAnsi="Verdana"/>
          <w:b/>
          <w:sz w:val="24"/>
        </w:rPr>
        <w:t>Functions, objectives and key features of the dispute settlement system</w:t>
      </w:r>
    </w:p>
    <w:p w:rsidR="008A38E5" w:rsidRDefault="008A38E5" w:rsidP="008A38E5">
      <w:pPr>
        <w:rPr>
          <w:rFonts w:ascii="Verdana" w:hAnsi="Verdana"/>
          <w:b/>
          <w:u w:val="single"/>
        </w:rPr>
      </w:pPr>
    </w:p>
    <w:p w:rsidR="008A38E5" w:rsidRPr="007C5B61" w:rsidRDefault="008A38E5" w:rsidP="008A38E5">
      <w:pPr>
        <w:jc w:val="both"/>
        <w:rPr>
          <w:rFonts w:ascii="Verdana" w:hAnsi="Verdana"/>
          <w:sz w:val="24"/>
          <w:u w:val="single"/>
        </w:rPr>
      </w:pPr>
      <w:r w:rsidRPr="007C5B61">
        <w:rPr>
          <w:rStyle w:val="paraboldcolourtext1"/>
          <w:rFonts w:ascii="Verdana" w:hAnsi="Verdana"/>
          <w:b w:val="0"/>
          <w:sz w:val="24"/>
          <w:u w:val="single"/>
        </w:rPr>
        <w:t>Clarification of rights and obligations through interpretation</w:t>
      </w:r>
      <w:r w:rsidRPr="007C5B61">
        <w:rPr>
          <w:rFonts w:ascii="Verdana" w:hAnsi="Verdana"/>
          <w:sz w:val="24"/>
          <w:u w:val="single"/>
        </w:rPr>
        <w:t xml:space="preserve"> </w:t>
      </w:r>
    </w:p>
    <w:p w:rsidR="008A38E5" w:rsidRDefault="008A38E5" w:rsidP="008A38E5">
      <w:pPr>
        <w:ind w:right="-33"/>
        <w:jc w:val="both"/>
        <w:rPr>
          <w:rFonts w:ascii="Verdana" w:hAnsi="Verdana"/>
          <w:sz w:val="24"/>
        </w:rPr>
      </w:pPr>
    </w:p>
    <w:p w:rsidR="008A38E5" w:rsidRPr="006D5431" w:rsidRDefault="008A38E5" w:rsidP="008A38E5">
      <w:pPr>
        <w:ind w:right="-33"/>
        <w:jc w:val="both"/>
        <w:rPr>
          <w:rFonts w:ascii="Verdana" w:hAnsi="Verdana"/>
          <w:sz w:val="24"/>
        </w:rPr>
      </w:pPr>
      <w:r w:rsidRPr="006D5431">
        <w:rPr>
          <w:rFonts w:ascii="Verdana" w:hAnsi="Verdana"/>
          <w:sz w:val="24"/>
        </w:rPr>
        <w:t xml:space="preserve">The precise scope of the rights and obligations contained in the </w:t>
      </w:r>
      <w:hyperlink r:id="rId5" w:tooltip="Opens in a pop-up window" w:history="1">
        <w:r w:rsidRPr="006D5431">
          <w:rPr>
            <w:rStyle w:val="Hyperlink"/>
            <w:rFonts w:ascii="Verdana" w:hAnsi="Verdana"/>
            <w:sz w:val="24"/>
          </w:rPr>
          <w:t>WTO Agreement</w:t>
        </w:r>
      </w:hyperlink>
      <w:r w:rsidRPr="006D5431">
        <w:rPr>
          <w:rFonts w:ascii="Verdana" w:hAnsi="Verdana"/>
          <w:sz w:val="24"/>
        </w:rPr>
        <w:t xml:space="preserve">s are not always evident from a reading of the legal texts. Legal provisions are often drafted in general terms so as to be of general applicability and to cover a multitude of individual cases, not all of which can be specifically regulated. </w:t>
      </w:r>
      <w:proofErr w:type="gramStart"/>
      <w:r w:rsidRPr="006D5431">
        <w:rPr>
          <w:rFonts w:ascii="Verdana" w:hAnsi="Verdana"/>
          <w:sz w:val="24"/>
        </w:rPr>
        <w:t>Whether the existence of a certain set of facts gives rise to a violation of a legal requirement contained in a particular provision is, therefore, a question that is not always easy to answer.</w:t>
      </w:r>
      <w:proofErr w:type="gramEnd"/>
      <w:r w:rsidRPr="006D5431">
        <w:rPr>
          <w:rFonts w:ascii="Verdana" w:hAnsi="Verdana"/>
          <w:sz w:val="24"/>
        </w:rPr>
        <w:t xml:space="preserve"> In most cases, the answer can be found only after interpreting the legal terms contained in the provision at issue.</w:t>
      </w:r>
    </w:p>
    <w:p w:rsidR="008A38E5" w:rsidRPr="006D5431" w:rsidRDefault="008A38E5" w:rsidP="008A38E5">
      <w:pPr>
        <w:pStyle w:val="paranormaltext"/>
        <w:tabs>
          <w:tab w:val="left" w:pos="8787"/>
        </w:tabs>
        <w:ind w:right="-33"/>
        <w:jc w:val="both"/>
        <w:rPr>
          <w:rFonts w:ascii="Verdana" w:hAnsi="Verdana"/>
          <w:sz w:val="24"/>
          <w:szCs w:val="24"/>
        </w:rPr>
      </w:pPr>
      <w:r w:rsidRPr="006D5431">
        <w:rPr>
          <w:rFonts w:ascii="Verdana" w:hAnsi="Verdana"/>
          <w:sz w:val="24"/>
          <w:szCs w:val="24"/>
        </w:rPr>
        <w:t xml:space="preserve">In addition, legal provisions in international agreements often lack clarity because they are compromise formulations resulting from multilateral negotiations. The various participants in a negotiating process often reconcile their diverging positions by agreeing to a text that can be understood in more than one way so as to satisfy the demands of </w:t>
      </w:r>
      <w:r w:rsidRPr="006D5431">
        <w:rPr>
          <w:rFonts w:ascii="Verdana" w:hAnsi="Verdana"/>
          <w:sz w:val="24"/>
          <w:szCs w:val="24"/>
        </w:rPr>
        <w:lastRenderedPageBreak/>
        <w:t>different domestic constituents. The negotiators may thus understand a particular provision in different and opposing ways.</w:t>
      </w:r>
    </w:p>
    <w:p w:rsidR="008A38E5" w:rsidRPr="006D5431" w:rsidRDefault="008A38E5" w:rsidP="008A38E5">
      <w:pPr>
        <w:pStyle w:val="paranormaltext"/>
        <w:ind w:right="-33"/>
        <w:jc w:val="both"/>
        <w:rPr>
          <w:rFonts w:ascii="Verdana" w:hAnsi="Verdana"/>
          <w:sz w:val="24"/>
          <w:szCs w:val="24"/>
        </w:rPr>
      </w:pPr>
      <w:r w:rsidRPr="006D5431">
        <w:rPr>
          <w:rFonts w:ascii="Verdana" w:hAnsi="Verdana"/>
          <w:sz w:val="24"/>
          <w:szCs w:val="24"/>
        </w:rPr>
        <w:t xml:space="preserve">For those reasons, as in any legal setting, individual cases often require an interpretation of the pertinent provisions. One might think that such an interpretation cannot occur in (WTO) dispute settlement proceedings because </w:t>
      </w:r>
      <w:hyperlink r:id="rId6" w:anchor="articleIX_2','',screen.width*0.7,screen.height*0.6,1)" w:tooltip="Opens in a new window" w:history="1">
        <w:r w:rsidRPr="006D5431">
          <w:rPr>
            <w:rStyle w:val="Hyperlink"/>
            <w:rFonts w:ascii="Verdana" w:hAnsi="Verdana"/>
            <w:sz w:val="24"/>
            <w:szCs w:val="24"/>
          </w:rPr>
          <w:t>Article IX:2</w:t>
        </w:r>
      </w:hyperlink>
      <w:r w:rsidRPr="006D5431">
        <w:rPr>
          <w:rFonts w:ascii="Verdana" w:hAnsi="Verdana"/>
          <w:sz w:val="24"/>
          <w:szCs w:val="24"/>
        </w:rPr>
        <w:t xml:space="preserve"> of the WTO Agreement provides that the Ministerial Conference and the General Council of the </w:t>
      </w:r>
      <w:hyperlink r:id="rId7" w:tooltip="Opens in a pop-up window" w:history="1">
        <w:r w:rsidRPr="006D5431">
          <w:rPr>
            <w:rStyle w:val="Hyperlink"/>
            <w:rFonts w:ascii="Verdana" w:hAnsi="Verdana"/>
            <w:sz w:val="24"/>
            <w:szCs w:val="24"/>
          </w:rPr>
          <w:t>WTO</w:t>
        </w:r>
      </w:hyperlink>
      <w:r w:rsidRPr="006D5431">
        <w:rPr>
          <w:rFonts w:ascii="Verdana" w:hAnsi="Verdana"/>
          <w:sz w:val="24"/>
          <w:szCs w:val="24"/>
        </w:rPr>
        <w:t xml:space="preserve"> have the “exclusive authority to adopt interpretations” of the WTO Agreement. However, the </w:t>
      </w:r>
      <w:hyperlink r:id="rId8" w:tooltip="Opens in a pop-up window" w:history="1">
        <w:r w:rsidRPr="006D5431">
          <w:rPr>
            <w:rStyle w:val="Hyperlink"/>
            <w:rFonts w:ascii="Verdana" w:hAnsi="Verdana"/>
            <w:sz w:val="24"/>
            <w:szCs w:val="24"/>
          </w:rPr>
          <w:t>DSU</w:t>
        </w:r>
      </w:hyperlink>
      <w:r w:rsidRPr="006D5431">
        <w:rPr>
          <w:rFonts w:ascii="Verdana" w:hAnsi="Verdana"/>
          <w:sz w:val="24"/>
          <w:szCs w:val="24"/>
        </w:rPr>
        <w:t xml:space="preserve"> expressly states that </w:t>
      </w:r>
      <w:bookmarkStart w:id="0" w:name="answer1"/>
      <w:bookmarkEnd w:id="0"/>
      <w:r w:rsidRPr="006D5431">
        <w:rPr>
          <w:rStyle w:val="highlighttext1"/>
          <w:rFonts w:ascii="Verdana" w:hAnsi="Verdana"/>
          <w:sz w:val="24"/>
          <w:szCs w:val="24"/>
        </w:rPr>
        <w:t>the dispute settlement system is intended to clarify the provisions of the WTO Agreement “in accordance with customary rules of interpretation of public international law” (</w:t>
      </w:r>
      <w:hyperlink r:id="rId9" w:anchor="3_2','',screen.width*0.7,screen.height*0.6,1)" w:tooltip="Opens in a new window" w:history="1">
        <w:r w:rsidRPr="006D5431">
          <w:rPr>
            <w:rStyle w:val="Hyperlink"/>
            <w:rFonts w:ascii="Verdana" w:hAnsi="Verdana"/>
            <w:sz w:val="24"/>
            <w:szCs w:val="24"/>
          </w:rPr>
          <w:t>Article 3.2</w:t>
        </w:r>
      </w:hyperlink>
      <w:r w:rsidRPr="006D5431">
        <w:rPr>
          <w:rStyle w:val="highlighttext1"/>
          <w:rFonts w:ascii="Verdana" w:hAnsi="Verdana"/>
          <w:sz w:val="24"/>
          <w:szCs w:val="24"/>
        </w:rPr>
        <w:t xml:space="preserve"> of the DSU).</w:t>
      </w:r>
    </w:p>
    <w:p w:rsidR="008A38E5" w:rsidRPr="006D5431" w:rsidRDefault="008A38E5" w:rsidP="008A38E5">
      <w:pPr>
        <w:pStyle w:val="paranormaltext"/>
        <w:ind w:right="-33"/>
        <w:jc w:val="both"/>
        <w:rPr>
          <w:rFonts w:ascii="Verdana" w:hAnsi="Verdana"/>
          <w:sz w:val="24"/>
          <w:szCs w:val="24"/>
        </w:rPr>
      </w:pPr>
      <w:r w:rsidRPr="006D5431">
        <w:rPr>
          <w:rFonts w:ascii="Verdana" w:hAnsi="Verdana"/>
          <w:sz w:val="24"/>
          <w:szCs w:val="24"/>
        </w:rPr>
        <w:t xml:space="preserve">The DSU, therefore, recognizes the need to clarify WTO rules and mandates that this clarification take place pursuant to customary rules of interpretation. In addition, </w:t>
      </w:r>
      <w:hyperlink r:id="rId10" w:anchor="17_6','',screen.width*0.7,screen.height*0.6,1)" w:tooltip="Opens in a new window" w:history="1">
        <w:r w:rsidRPr="006D5431">
          <w:rPr>
            <w:rStyle w:val="Hyperlink"/>
            <w:rFonts w:ascii="Verdana" w:hAnsi="Verdana"/>
            <w:sz w:val="24"/>
            <w:szCs w:val="24"/>
          </w:rPr>
          <w:t>Article 17.6</w:t>
        </w:r>
      </w:hyperlink>
      <w:r w:rsidRPr="006D5431">
        <w:rPr>
          <w:rFonts w:ascii="Verdana" w:hAnsi="Verdana"/>
          <w:sz w:val="24"/>
          <w:szCs w:val="24"/>
        </w:rPr>
        <w:t xml:space="preserve"> of the DSU implicitly recognizes that panels may develop legal interpretations. The “exclusive authority” of </w:t>
      </w:r>
      <w:hyperlink r:id="rId11" w:anchor="articleIX_2','',screen.width*0.7,screen.height*0.6,1)" w:tooltip="Opens in a new window" w:history="1">
        <w:r w:rsidRPr="006D5431">
          <w:rPr>
            <w:rStyle w:val="Hyperlink"/>
            <w:rFonts w:ascii="Verdana" w:hAnsi="Verdana"/>
            <w:sz w:val="24"/>
            <w:szCs w:val="24"/>
          </w:rPr>
          <w:t>Article IX:2</w:t>
        </w:r>
      </w:hyperlink>
      <w:r w:rsidRPr="006D5431">
        <w:rPr>
          <w:rFonts w:ascii="Verdana" w:hAnsi="Verdana"/>
          <w:sz w:val="24"/>
          <w:szCs w:val="24"/>
        </w:rPr>
        <w:t xml:space="preserve"> of the WTO Agreement must therefore be understood as the possibility to adopt “authoritative” interpretations that are of general validity for all </w:t>
      </w:r>
      <w:hyperlink r:id="rId12" w:tooltip="Opens in a pop-up window" w:history="1">
        <w:r w:rsidRPr="006D5431">
          <w:rPr>
            <w:rStyle w:val="Hyperlink"/>
            <w:rFonts w:ascii="Verdana" w:hAnsi="Verdana"/>
            <w:sz w:val="24"/>
            <w:szCs w:val="24"/>
          </w:rPr>
          <w:t>WTO Members</w:t>
        </w:r>
      </w:hyperlink>
      <w:r w:rsidRPr="006D5431">
        <w:rPr>
          <w:rFonts w:ascii="Verdana" w:hAnsi="Verdana"/>
          <w:sz w:val="24"/>
          <w:szCs w:val="24"/>
        </w:rPr>
        <w:t xml:space="preserve"> — unlike interpretations by panels and the Appellate Body, which are applicable only to the parties and to the subject matter of a specific dispute. Accordingly, the DSU mandate to clarify WTO rules is without prejudice to the rights of Members to seek authoritative interpretations under </w:t>
      </w:r>
      <w:hyperlink r:id="rId13" w:anchor="articleIX_2','',screen.width*0.7,screen.height*0.6,1)" w:tooltip="Opens in a new window" w:history="1">
        <w:r w:rsidRPr="006D5431">
          <w:rPr>
            <w:rStyle w:val="Hyperlink"/>
            <w:rFonts w:ascii="Verdana" w:hAnsi="Verdana"/>
            <w:sz w:val="24"/>
            <w:szCs w:val="24"/>
          </w:rPr>
          <w:t>Article IX:2</w:t>
        </w:r>
      </w:hyperlink>
      <w:r w:rsidRPr="006D5431">
        <w:rPr>
          <w:rFonts w:ascii="Verdana" w:hAnsi="Verdana"/>
          <w:sz w:val="24"/>
          <w:szCs w:val="24"/>
        </w:rPr>
        <w:t xml:space="preserve"> of the WTO Agreement (</w:t>
      </w:r>
      <w:hyperlink r:id="rId14" w:anchor="3_9','',screen.width*0.7,screen.height*0.6,1)" w:tooltip="Opens in a new window" w:history="1">
        <w:r w:rsidRPr="006D5431">
          <w:rPr>
            <w:rStyle w:val="Hyperlink"/>
            <w:rFonts w:ascii="Verdana" w:hAnsi="Verdana"/>
            <w:sz w:val="24"/>
            <w:szCs w:val="24"/>
          </w:rPr>
          <w:t>Article 3.9</w:t>
        </w:r>
      </w:hyperlink>
      <w:r w:rsidRPr="006D5431">
        <w:rPr>
          <w:rFonts w:ascii="Verdana" w:hAnsi="Verdana"/>
          <w:sz w:val="24"/>
          <w:szCs w:val="24"/>
        </w:rPr>
        <w:t xml:space="preserve"> of the DSU).</w:t>
      </w:r>
    </w:p>
    <w:p w:rsidR="008A38E5" w:rsidRDefault="008A38E5" w:rsidP="008A38E5">
      <w:pPr>
        <w:pStyle w:val="paranormaltext"/>
        <w:ind w:right="-33"/>
        <w:jc w:val="both"/>
        <w:rPr>
          <w:rFonts w:ascii="Verdana" w:hAnsi="Verdana"/>
          <w:sz w:val="24"/>
          <w:szCs w:val="24"/>
        </w:rPr>
      </w:pPr>
      <w:r w:rsidRPr="006D5431">
        <w:rPr>
          <w:rFonts w:ascii="Verdana" w:hAnsi="Verdana"/>
          <w:sz w:val="24"/>
          <w:szCs w:val="24"/>
        </w:rPr>
        <w:t>As regards the methods of interpretation, the DSU refers to the “customary rules of interpretation of public international law” (</w:t>
      </w:r>
      <w:hyperlink r:id="rId15" w:anchor="3_2','',screen.width*0.7,screen.height*0.6,1)" w:tooltip="Opens in a new window" w:history="1">
        <w:r w:rsidRPr="006D5431">
          <w:rPr>
            <w:rStyle w:val="Hyperlink"/>
            <w:rFonts w:ascii="Verdana" w:hAnsi="Verdana"/>
            <w:sz w:val="24"/>
            <w:szCs w:val="24"/>
          </w:rPr>
          <w:t>Article 3.2</w:t>
        </w:r>
      </w:hyperlink>
      <w:r w:rsidRPr="006D5431">
        <w:rPr>
          <w:rFonts w:ascii="Verdana" w:hAnsi="Verdana"/>
          <w:sz w:val="24"/>
          <w:szCs w:val="24"/>
        </w:rPr>
        <w:t xml:space="preserve"> of the DSU). While customary international law is normally unwritten, there is an international convention that has codified some of these customary rules of treaty interpretation. Notably, </w:t>
      </w:r>
      <w:hyperlink r:id="rId16" w:anchor="art31#art31" w:history="1">
        <w:r w:rsidRPr="006D5431">
          <w:rPr>
            <w:rStyle w:val="Hyperlink"/>
            <w:rFonts w:ascii="Verdana" w:hAnsi="Verdana"/>
            <w:sz w:val="24"/>
            <w:szCs w:val="24"/>
          </w:rPr>
          <w:t>Articles 31</w:t>
        </w:r>
      </w:hyperlink>
      <w:r w:rsidRPr="006D5431">
        <w:rPr>
          <w:rFonts w:ascii="Verdana" w:hAnsi="Verdana"/>
          <w:sz w:val="24"/>
          <w:szCs w:val="24"/>
        </w:rPr>
        <w:t xml:space="preserve">, </w:t>
      </w:r>
      <w:hyperlink r:id="rId17" w:anchor="art32#art32" w:history="1">
        <w:r w:rsidRPr="006D5431">
          <w:rPr>
            <w:rStyle w:val="Hyperlink"/>
            <w:rFonts w:ascii="Verdana" w:hAnsi="Verdana"/>
            <w:sz w:val="24"/>
            <w:szCs w:val="24"/>
          </w:rPr>
          <w:t>32</w:t>
        </w:r>
      </w:hyperlink>
      <w:r w:rsidRPr="006D5431">
        <w:rPr>
          <w:rFonts w:ascii="Verdana" w:hAnsi="Verdana"/>
          <w:sz w:val="24"/>
          <w:szCs w:val="24"/>
        </w:rPr>
        <w:t xml:space="preserve"> and </w:t>
      </w:r>
      <w:hyperlink r:id="rId18" w:anchor="art33#art33" w:history="1">
        <w:r w:rsidRPr="006D5431">
          <w:rPr>
            <w:rStyle w:val="Hyperlink"/>
            <w:rFonts w:ascii="Verdana" w:hAnsi="Verdana"/>
            <w:sz w:val="24"/>
            <w:szCs w:val="24"/>
          </w:rPr>
          <w:t>33</w:t>
        </w:r>
      </w:hyperlink>
      <w:r w:rsidRPr="006D5431">
        <w:rPr>
          <w:rFonts w:ascii="Verdana" w:hAnsi="Verdana"/>
          <w:sz w:val="24"/>
          <w:szCs w:val="24"/>
        </w:rPr>
        <w:t xml:space="preserve"> of the Vienna Convention on the Law of Treaties embody many of the customary rules of interpretation of public international law. While the reference in </w:t>
      </w:r>
      <w:hyperlink r:id="rId19" w:anchor="3_2','',screen.width*0.7,screen.height*0.6,1)" w:tooltip="Opens in a new window" w:history="1">
        <w:r w:rsidRPr="006D5431">
          <w:rPr>
            <w:rStyle w:val="Hyperlink"/>
            <w:rFonts w:ascii="Verdana" w:hAnsi="Verdana"/>
            <w:sz w:val="24"/>
            <w:szCs w:val="24"/>
          </w:rPr>
          <w:t>Article 3.2</w:t>
        </w:r>
      </w:hyperlink>
      <w:r w:rsidRPr="006D5431">
        <w:rPr>
          <w:rFonts w:ascii="Verdana" w:hAnsi="Verdana"/>
          <w:sz w:val="24"/>
          <w:szCs w:val="24"/>
        </w:rPr>
        <w:t xml:space="preserve"> of the DSU does not refer directly to these Articles, the Appellate Body has ruled that they can serve as a point of reference for discerning the applicable customary rules</w:t>
      </w:r>
      <w:bookmarkStart w:id="1" w:name="txt1"/>
      <w:bookmarkEnd w:id="1"/>
      <w:r w:rsidR="008E6E10" w:rsidRPr="006D5431">
        <w:rPr>
          <w:rFonts w:ascii="Verdana" w:hAnsi="Verdana"/>
          <w:sz w:val="24"/>
          <w:szCs w:val="24"/>
          <w:vertAlign w:val="superscript"/>
        </w:rPr>
        <w:fldChar w:fldCharType="begin"/>
      </w:r>
      <w:r w:rsidRPr="006D5431">
        <w:rPr>
          <w:rFonts w:ascii="Verdana" w:hAnsi="Verdana"/>
          <w:sz w:val="24"/>
          <w:szCs w:val="24"/>
          <w:vertAlign w:val="superscript"/>
        </w:rPr>
        <w:instrText xml:space="preserve"> HYPERLINK "http://www.wto.org/english/tratop_e/dispu_e/disp_settlement_cbt_e/c1s3p2_e.htm" \l "fnt1#fnt1" </w:instrText>
      </w:r>
      <w:r w:rsidR="008E6E10" w:rsidRPr="006D5431">
        <w:rPr>
          <w:rFonts w:ascii="Verdana" w:hAnsi="Verdana"/>
          <w:sz w:val="24"/>
          <w:szCs w:val="24"/>
          <w:vertAlign w:val="superscript"/>
        </w:rPr>
        <w:fldChar w:fldCharType="separate"/>
      </w:r>
      <w:r w:rsidRPr="006D5431">
        <w:rPr>
          <w:rStyle w:val="Hyperlink"/>
          <w:rFonts w:ascii="Verdana" w:hAnsi="Verdana"/>
          <w:sz w:val="24"/>
          <w:szCs w:val="24"/>
          <w:vertAlign w:val="superscript"/>
        </w:rPr>
        <w:t>1</w:t>
      </w:r>
      <w:r w:rsidR="008E6E10" w:rsidRPr="006D5431">
        <w:rPr>
          <w:rFonts w:ascii="Verdana" w:hAnsi="Verdana"/>
          <w:sz w:val="24"/>
          <w:szCs w:val="24"/>
          <w:vertAlign w:val="superscript"/>
        </w:rPr>
        <w:fldChar w:fldCharType="end"/>
      </w:r>
      <w:r w:rsidRPr="006D5431">
        <w:rPr>
          <w:rFonts w:ascii="Verdana" w:hAnsi="Verdana"/>
          <w:sz w:val="24"/>
          <w:szCs w:val="24"/>
        </w:rPr>
        <w:t>.</w:t>
      </w:r>
    </w:p>
    <w:p w:rsidR="008A38E5" w:rsidRPr="006D5431" w:rsidRDefault="008A38E5" w:rsidP="008A38E5">
      <w:pPr>
        <w:pStyle w:val="paranormaltext"/>
        <w:ind w:right="-33"/>
        <w:jc w:val="both"/>
        <w:rPr>
          <w:rFonts w:ascii="Verdana" w:hAnsi="Verdana"/>
          <w:sz w:val="24"/>
          <w:szCs w:val="24"/>
        </w:rPr>
      </w:pPr>
      <w:r w:rsidRPr="006D5431">
        <w:rPr>
          <w:rFonts w:ascii="Verdana" w:hAnsi="Verdana"/>
          <w:sz w:val="24"/>
          <w:szCs w:val="24"/>
        </w:rPr>
        <w:t xml:space="preserve">The three Articles read as follows: </w:t>
      </w:r>
    </w:p>
    <w:p w:rsidR="008A38E5" w:rsidRPr="006D5431" w:rsidRDefault="008A38E5" w:rsidP="008A38E5">
      <w:pPr>
        <w:ind w:right="-33"/>
        <w:jc w:val="both"/>
        <w:rPr>
          <w:rFonts w:ascii="Verdana" w:hAnsi="Verdana"/>
          <w:bCs/>
          <w:sz w:val="24"/>
        </w:rPr>
      </w:pPr>
      <w:bookmarkStart w:id="2" w:name="art31"/>
      <w:bookmarkEnd w:id="2"/>
      <w:r w:rsidRPr="007C5B61">
        <w:rPr>
          <w:rFonts w:ascii="Verdana" w:hAnsi="Verdana"/>
          <w:bCs/>
          <w:sz w:val="24"/>
          <w:u w:val="single"/>
        </w:rPr>
        <w:t>Article 31</w:t>
      </w:r>
      <w:r w:rsidRPr="006D5431">
        <w:rPr>
          <w:rFonts w:ascii="Verdana" w:hAnsi="Verdana"/>
          <w:bCs/>
          <w:sz w:val="24"/>
        </w:rPr>
        <w:t xml:space="preserve">- General rule of interpretation  </w:t>
      </w:r>
    </w:p>
    <w:p w:rsidR="008A38E5" w:rsidRDefault="008A38E5" w:rsidP="008A38E5">
      <w:pPr>
        <w:numPr>
          <w:ilvl w:val="1"/>
          <w:numId w:val="2"/>
        </w:numPr>
        <w:ind w:right="-33"/>
        <w:jc w:val="both"/>
        <w:rPr>
          <w:rFonts w:ascii="Verdana" w:hAnsi="Verdana"/>
          <w:sz w:val="24"/>
        </w:rPr>
      </w:pPr>
      <w:r w:rsidRPr="006D5431">
        <w:rPr>
          <w:rFonts w:ascii="Verdana" w:hAnsi="Verdana"/>
          <w:sz w:val="24"/>
        </w:rPr>
        <w:t xml:space="preserve">A treaty shall be interpreted in good faith in accordance with the ordinary meaning to be given to the terms of the treaty in their context and in the light of its object and purpose.  </w:t>
      </w:r>
    </w:p>
    <w:p w:rsidR="008A38E5" w:rsidRPr="006D5431" w:rsidRDefault="008A38E5" w:rsidP="008A38E5">
      <w:pPr>
        <w:ind w:left="1080" w:right="-33"/>
        <w:jc w:val="both"/>
        <w:rPr>
          <w:rFonts w:ascii="Verdana" w:hAnsi="Verdana"/>
          <w:sz w:val="24"/>
        </w:rPr>
      </w:pPr>
    </w:p>
    <w:p w:rsidR="008A38E5" w:rsidRPr="006D5431" w:rsidRDefault="008A38E5" w:rsidP="008A38E5">
      <w:pPr>
        <w:numPr>
          <w:ilvl w:val="1"/>
          <w:numId w:val="2"/>
        </w:numPr>
        <w:ind w:right="-33"/>
        <w:jc w:val="both"/>
        <w:rPr>
          <w:rFonts w:ascii="Verdana" w:hAnsi="Verdana"/>
          <w:sz w:val="24"/>
        </w:rPr>
      </w:pPr>
      <w:r w:rsidRPr="006D5431">
        <w:rPr>
          <w:rFonts w:ascii="Verdana" w:hAnsi="Verdana"/>
          <w:sz w:val="24"/>
        </w:rPr>
        <w:t>The context for the purpose of the interpretation of a treaty shall comprise, in addition to the text, including its preamble and annexes:</w:t>
      </w:r>
    </w:p>
    <w:p w:rsidR="008A38E5" w:rsidRDefault="008A38E5" w:rsidP="008A38E5">
      <w:pPr>
        <w:numPr>
          <w:ilvl w:val="2"/>
          <w:numId w:val="2"/>
        </w:numPr>
        <w:ind w:right="-33"/>
        <w:rPr>
          <w:rFonts w:ascii="Verdana" w:hAnsi="Verdana"/>
          <w:sz w:val="24"/>
        </w:rPr>
      </w:pPr>
      <w:r w:rsidRPr="006D5431">
        <w:rPr>
          <w:rFonts w:ascii="Verdana" w:hAnsi="Verdana"/>
          <w:sz w:val="24"/>
        </w:rPr>
        <w:lastRenderedPageBreak/>
        <w:t>any agreement relating to the treaty which was made between all the parties in connection with th</w:t>
      </w:r>
      <w:r>
        <w:rPr>
          <w:rFonts w:ascii="Verdana" w:hAnsi="Verdana"/>
          <w:sz w:val="24"/>
        </w:rPr>
        <w:t>e conclusion of the treaty;</w:t>
      </w:r>
    </w:p>
    <w:p w:rsidR="008A38E5" w:rsidRDefault="008A38E5" w:rsidP="008A38E5">
      <w:pPr>
        <w:numPr>
          <w:ilvl w:val="2"/>
          <w:numId w:val="2"/>
        </w:numPr>
        <w:ind w:right="-33"/>
        <w:rPr>
          <w:rFonts w:ascii="Verdana" w:hAnsi="Verdana"/>
          <w:sz w:val="24"/>
        </w:rPr>
      </w:pPr>
      <w:proofErr w:type="gramStart"/>
      <w:r w:rsidRPr="006D5431">
        <w:rPr>
          <w:rFonts w:ascii="Verdana" w:hAnsi="Verdana"/>
          <w:sz w:val="24"/>
        </w:rPr>
        <w:t>any</w:t>
      </w:r>
      <w:proofErr w:type="gramEnd"/>
      <w:r w:rsidRPr="006D5431">
        <w:rPr>
          <w:rFonts w:ascii="Verdana" w:hAnsi="Verdana"/>
          <w:sz w:val="24"/>
        </w:rPr>
        <w:t xml:space="preserve"> instrument which was made by one or more parties in connection with the conclusion of the treaty and accepted by the other parties as an instrument related to the treaty.</w:t>
      </w:r>
      <w:r w:rsidRPr="006D5431">
        <w:rPr>
          <w:rFonts w:ascii="Verdana" w:hAnsi="Verdana"/>
          <w:sz w:val="24"/>
        </w:rPr>
        <w:br/>
      </w:r>
    </w:p>
    <w:p w:rsidR="008A38E5" w:rsidRDefault="008A38E5" w:rsidP="008A38E5">
      <w:pPr>
        <w:numPr>
          <w:ilvl w:val="1"/>
          <w:numId w:val="2"/>
        </w:numPr>
        <w:rPr>
          <w:rFonts w:ascii="Verdana" w:hAnsi="Verdana"/>
          <w:sz w:val="24"/>
        </w:rPr>
      </w:pPr>
      <w:r w:rsidRPr="006D5431">
        <w:rPr>
          <w:rFonts w:ascii="Verdana" w:hAnsi="Verdana"/>
          <w:sz w:val="24"/>
        </w:rPr>
        <w:t xml:space="preserve">There shall be taken into account, together with the </w:t>
      </w:r>
      <w:r>
        <w:rPr>
          <w:rFonts w:ascii="Verdana" w:hAnsi="Verdana"/>
          <w:sz w:val="24"/>
        </w:rPr>
        <w:t xml:space="preserve"> </w:t>
      </w:r>
      <w:r w:rsidRPr="006D5431">
        <w:rPr>
          <w:rFonts w:ascii="Verdana" w:hAnsi="Verdana"/>
          <w:sz w:val="24"/>
        </w:rPr>
        <w:t xml:space="preserve">context:  </w:t>
      </w:r>
    </w:p>
    <w:p w:rsidR="008A38E5" w:rsidRDefault="008A38E5" w:rsidP="008A38E5">
      <w:pPr>
        <w:numPr>
          <w:ilvl w:val="0"/>
          <w:numId w:val="5"/>
        </w:numPr>
        <w:rPr>
          <w:rFonts w:ascii="Verdana" w:hAnsi="Verdana"/>
          <w:sz w:val="24"/>
        </w:rPr>
      </w:pPr>
      <w:r w:rsidRPr="006D5431">
        <w:rPr>
          <w:rFonts w:ascii="Verdana" w:hAnsi="Verdana"/>
          <w:sz w:val="24"/>
        </w:rPr>
        <w:t>any subsequent agreement between the parties regarding the interpretation of the treaty or the ap</w:t>
      </w:r>
      <w:r>
        <w:rPr>
          <w:rFonts w:ascii="Verdana" w:hAnsi="Verdana"/>
          <w:sz w:val="24"/>
        </w:rPr>
        <w:t>plication of its provisions;</w:t>
      </w:r>
    </w:p>
    <w:p w:rsidR="008A38E5" w:rsidRDefault="008A38E5" w:rsidP="008A38E5">
      <w:pPr>
        <w:numPr>
          <w:ilvl w:val="0"/>
          <w:numId w:val="5"/>
        </w:numPr>
        <w:rPr>
          <w:rFonts w:ascii="Verdana" w:hAnsi="Verdana"/>
          <w:sz w:val="24"/>
        </w:rPr>
      </w:pPr>
      <w:r w:rsidRPr="006D5431">
        <w:rPr>
          <w:rFonts w:ascii="Verdana" w:hAnsi="Verdana"/>
          <w:sz w:val="24"/>
        </w:rPr>
        <w:t>any subsequent practice in the application of the treaty which establishes the agreement of the parties r</w:t>
      </w:r>
      <w:r>
        <w:rPr>
          <w:rFonts w:ascii="Verdana" w:hAnsi="Verdana"/>
          <w:sz w:val="24"/>
        </w:rPr>
        <w:t>egarding its interpretation;</w:t>
      </w:r>
    </w:p>
    <w:p w:rsidR="008A38E5" w:rsidRDefault="008A38E5" w:rsidP="008A38E5">
      <w:pPr>
        <w:numPr>
          <w:ilvl w:val="0"/>
          <w:numId w:val="5"/>
        </w:numPr>
        <w:rPr>
          <w:rFonts w:ascii="Verdana" w:hAnsi="Verdana"/>
          <w:sz w:val="24"/>
        </w:rPr>
      </w:pPr>
      <w:proofErr w:type="gramStart"/>
      <w:r w:rsidRPr="006D5431">
        <w:rPr>
          <w:rFonts w:ascii="Verdana" w:hAnsi="Verdana"/>
          <w:sz w:val="24"/>
        </w:rPr>
        <w:t>any</w:t>
      </w:r>
      <w:proofErr w:type="gramEnd"/>
      <w:r w:rsidRPr="006D5431">
        <w:rPr>
          <w:rFonts w:ascii="Verdana" w:hAnsi="Verdana"/>
          <w:sz w:val="24"/>
        </w:rPr>
        <w:t xml:space="preserve"> relevant rules of international law applicable in the relations between the parties.</w:t>
      </w:r>
    </w:p>
    <w:p w:rsidR="008A38E5" w:rsidRDefault="008A38E5" w:rsidP="008A38E5">
      <w:pPr>
        <w:ind w:left="1800"/>
        <w:rPr>
          <w:rFonts w:ascii="Verdana" w:hAnsi="Verdana"/>
          <w:sz w:val="24"/>
        </w:rPr>
      </w:pPr>
    </w:p>
    <w:p w:rsidR="008A38E5" w:rsidRPr="006D5431" w:rsidRDefault="008A38E5" w:rsidP="008A38E5">
      <w:pPr>
        <w:numPr>
          <w:ilvl w:val="1"/>
          <w:numId w:val="2"/>
        </w:numPr>
        <w:tabs>
          <w:tab w:val="left" w:pos="8787"/>
        </w:tabs>
        <w:ind w:right="-33"/>
        <w:rPr>
          <w:rFonts w:ascii="Verdana" w:hAnsi="Verdana"/>
          <w:sz w:val="24"/>
        </w:rPr>
      </w:pPr>
      <w:r w:rsidRPr="006D5431">
        <w:rPr>
          <w:rFonts w:ascii="Verdana" w:hAnsi="Verdana"/>
          <w:sz w:val="24"/>
        </w:rPr>
        <w:t xml:space="preserve">A special meaning shall be given to a term if it is established that the parties so intended. </w:t>
      </w:r>
    </w:p>
    <w:p w:rsidR="008A38E5" w:rsidRDefault="008A38E5" w:rsidP="008A38E5">
      <w:pPr>
        <w:rPr>
          <w:rFonts w:ascii="Verdana" w:hAnsi="Verdana"/>
          <w:bCs/>
          <w:sz w:val="24"/>
          <w:u w:val="single"/>
        </w:rPr>
      </w:pPr>
      <w:bookmarkStart w:id="3" w:name="art32"/>
      <w:bookmarkEnd w:id="3"/>
    </w:p>
    <w:p w:rsidR="008A38E5" w:rsidRPr="006D5431" w:rsidRDefault="008A38E5" w:rsidP="008A38E5">
      <w:pPr>
        <w:rPr>
          <w:rFonts w:ascii="Verdana" w:hAnsi="Verdana"/>
          <w:bCs/>
          <w:sz w:val="24"/>
        </w:rPr>
      </w:pPr>
      <w:r w:rsidRPr="0012633C">
        <w:rPr>
          <w:rFonts w:ascii="Verdana" w:hAnsi="Verdana"/>
          <w:bCs/>
          <w:sz w:val="24"/>
          <w:u w:val="single"/>
        </w:rPr>
        <w:t>Article 32</w:t>
      </w:r>
      <w:r w:rsidRPr="006D5431">
        <w:rPr>
          <w:rFonts w:ascii="Verdana" w:hAnsi="Verdana"/>
          <w:bCs/>
          <w:sz w:val="24"/>
        </w:rPr>
        <w:t xml:space="preserve">- Supplementary means of interpretation   </w:t>
      </w:r>
    </w:p>
    <w:p w:rsidR="008A38E5" w:rsidRPr="006D5431" w:rsidRDefault="008A38E5" w:rsidP="008A38E5">
      <w:pPr>
        <w:ind w:left="720" w:right="-33"/>
        <w:jc w:val="both"/>
        <w:rPr>
          <w:rFonts w:ascii="Verdana" w:hAnsi="Verdana"/>
          <w:sz w:val="24"/>
        </w:rPr>
      </w:pPr>
      <w:r w:rsidRPr="006D5431">
        <w:rPr>
          <w:rFonts w:ascii="Verdana" w:hAnsi="Verdana"/>
          <w:sz w:val="24"/>
        </w:rPr>
        <w:t>Recourse may be had to supplementary means of interpretation, including the preparatory work of the treaty and the circumstances of its conclusion, in order to confirm the meaning resulting from the application of Article 31, or to determine the meaning when the interpretation according to Article 31:</w:t>
      </w:r>
    </w:p>
    <w:p w:rsidR="008A38E5" w:rsidRDefault="008A38E5" w:rsidP="008A38E5">
      <w:pPr>
        <w:numPr>
          <w:ilvl w:val="0"/>
          <w:numId w:val="4"/>
        </w:numPr>
        <w:tabs>
          <w:tab w:val="left" w:pos="2160"/>
        </w:tabs>
        <w:ind w:right="-33"/>
        <w:rPr>
          <w:rFonts w:ascii="Verdana" w:hAnsi="Verdana"/>
          <w:sz w:val="24"/>
        </w:rPr>
      </w:pPr>
      <w:r w:rsidRPr="006D5431">
        <w:rPr>
          <w:rFonts w:ascii="Verdana" w:hAnsi="Verdana"/>
          <w:sz w:val="24"/>
        </w:rPr>
        <w:t>leaves the meaning ambiguous or obscure;</w:t>
      </w:r>
    </w:p>
    <w:p w:rsidR="008A38E5" w:rsidRDefault="008A38E5" w:rsidP="008A38E5">
      <w:pPr>
        <w:numPr>
          <w:ilvl w:val="0"/>
          <w:numId w:val="4"/>
        </w:numPr>
        <w:tabs>
          <w:tab w:val="left" w:pos="2160"/>
        </w:tabs>
        <w:ind w:right="-33"/>
        <w:rPr>
          <w:rFonts w:ascii="Verdana" w:hAnsi="Verdana"/>
          <w:sz w:val="24"/>
        </w:rPr>
      </w:pPr>
      <w:proofErr w:type="gramStart"/>
      <w:r>
        <w:rPr>
          <w:rFonts w:ascii="Verdana" w:hAnsi="Verdana"/>
          <w:sz w:val="24"/>
        </w:rPr>
        <w:t>or</w:t>
      </w:r>
      <w:proofErr w:type="gramEnd"/>
      <w:r>
        <w:rPr>
          <w:rFonts w:ascii="Verdana" w:hAnsi="Verdana"/>
          <w:sz w:val="24"/>
        </w:rPr>
        <w:t xml:space="preserve"> </w:t>
      </w:r>
      <w:r w:rsidRPr="006D5431">
        <w:rPr>
          <w:rFonts w:ascii="Verdana" w:hAnsi="Verdana"/>
          <w:sz w:val="24"/>
        </w:rPr>
        <w:t>leads to a result which is manifestly absurd or unreasonable.</w:t>
      </w:r>
      <w:r w:rsidRPr="006D5431">
        <w:rPr>
          <w:rFonts w:ascii="Verdana" w:hAnsi="Verdana"/>
          <w:sz w:val="24"/>
        </w:rPr>
        <w:br/>
      </w:r>
    </w:p>
    <w:p w:rsidR="008A38E5" w:rsidRPr="006D5431" w:rsidRDefault="008A38E5" w:rsidP="008A38E5">
      <w:pPr>
        <w:jc w:val="both"/>
        <w:rPr>
          <w:rFonts w:ascii="Verdana" w:hAnsi="Verdana"/>
          <w:bCs/>
          <w:sz w:val="24"/>
        </w:rPr>
      </w:pPr>
      <w:bookmarkStart w:id="4" w:name="art33"/>
      <w:bookmarkEnd w:id="4"/>
      <w:r w:rsidRPr="00EE20AD">
        <w:rPr>
          <w:rFonts w:ascii="Verdana" w:hAnsi="Verdana"/>
          <w:bCs/>
          <w:sz w:val="24"/>
          <w:u w:val="single"/>
        </w:rPr>
        <w:t>Article 33</w:t>
      </w:r>
      <w:r w:rsidRPr="006D5431">
        <w:rPr>
          <w:rFonts w:ascii="Verdana" w:hAnsi="Verdana"/>
          <w:bCs/>
          <w:sz w:val="24"/>
        </w:rPr>
        <w:t xml:space="preserve"> - Interpretation of treaties authenticated in two or more languages  </w:t>
      </w:r>
      <w:r w:rsidRPr="006D5431">
        <w:rPr>
          <w:rFonts w:ascii="Verdana" w:hAnsi="Verdana"/>
          <w:bCs/>
          <w:sz w:val="24"/>
        </w:rPr>
        <w:br/>
        <w:t xml:space="preserve">  </w:t>
      </w:r>
    </w:p>
    <w:p w:rsidR="008A38E5" w:rsidRDefault="008A38E5" w:rsidP="008A38E5">
      <w:pPr>
        <w:numPr>
          <w:ilvl w:val="0"/>
          <w:numId w:val="6"/>
        </w:numPr>
        <w:tabs>
          <w:tab w:val="left" w:pos="8787"/>
        </w:tabs>
        <w:ind w:right="-33"/>
        <w:jc w:val="both"/>
        <w:rPr>
          <w:rFonts w:ascii="Verdana" w:hAnsi="Verdana"/>
          <w:sz w:val="24"/>
        </w:rPr>
      </w:pPr>
      <w:r w:rsidRPr="006D5431">
        <w:rPr>
          <w:rFonts w:ascii="Verdana" w:hAnsi="Verdana"/>
          <w:sz w:val="24"/>
        </w:rPr>
        <w:t>When a treaty has been authenticated in two or more languages, the text is equally authoritative in each language, unless the treaty provides or the parties agree that, in case of divergence, a particular text shall prevail.</w:t>
      </w:r>
    </w:p>
    <w:p w:rsidR="008A38E5" w:rsidRDefault="008A38E5" w:rsidP="008A38E5">
      <w:pPr>
        <w:tabs>
          <w:tab w:val="left" w:pos="8787"/>
        </w:tabs>
        <w:ind w:left="360" w:right="-33"/>
        <w:jc w:val="both"/>
        <w:rPr>
          <w:rFonts w:ascii="Verdana" w:hAnsi="Verdana"/>
          <w:sz w:val="24"/>
        </w:rPr>
      </w:pPr>
    </w:p>
    <w:p w:rsidR="008A38E5" w:rsidRDefault="008A38E5" w:rsidP="008A38E5">
      <w:pPr>
        <w:numPr>
          <w:ilvl w:val="0"/>
          <w:numId w:val="6"/>
        </w:numPr>
        <w:tabs>
          <w:tab w:val="left" w:pos="8787"/>
        </w:tabs>
        <w:ind w:right="-33"/>
        <w:jc w:val="both"/>
        <w:rPr>
          <w:rFonts w:ascii="Verdana" w:hAnsi="Verdana"/>
          <w:sz w:val="24"/>
        </w:rPr>
      </w:pPr>
      <w:r w:rsidRPr="006D5431">
        <w:rPr>
          <w:rFonts w:ascii="Verdana" w:hAnsi="Verdana"/>
          <w:sz w:val="24"/>
        </w:rPr>
        <w:t>A version of the treaty in a language other than one of those in which the text was authenticated shall be considered an authentic text only if the treaty so provides or the par</w:t>
      </w:r>
      <w:r>
        <w:rPr>
          <w:rFonts w:ascii="Verdana" w:hAnsi="Verdana"/>
          <w:sz w:val="24"/>
        </w:rPr>
        <w:t>ties so agree.</w:t>
      </w:r>
    </w:p>
    <w:p w:rsidR="008A38E5" w:rsidRDefault="008A38E5" w:rsidP="008A38E5">
      <w:pPr>
        <w:tabs>
          <w:tab w:val="left" w:pos="8787"/>
        </w:tabs>
        <w:ind w:right="-33"/>
        <w:jc w:val="both"/>
        <w:rPr>
          <w:rFonts w:ascii="Verdana" w:hAnsi="Verdana"/>
          <w:sz w:val="24"/>
        </w:rPr>
      </w:pPr>
    </w:p>
    <w:p w:rsidR="008A38E5" w:rsidRDefault="008A38E5" w:rsidP="008A38E5">
      <w:pPr>
        <w:numPr>
          <w:ilvl w:val="0"/>
          <w:numId w:val="6"/>
        </w:numPr>
        <w:tabs>
          <w:tab w:val="left" w:pos="8787"/>
        </w:tabs>
        <w:ind w:right="-33"/>
        <w:jc w:val="both"/>
        <w:rPr>
          <w:rFonts w:ascii="Verdana" w:hAnsi="Verdana"/>
          <w:sz w:val="24"/>
        </w:rPr>
      </w:pPr>
      <w:r w:rsidRPr="006D5431">
        <w:rPr>
          <w:rFonts w:ascii="Verdana" w:hAnsi="Verdana"/>
          <w:sz w:val="24"/>
        </w:rPr>
        <w:t>The terms of the treaty are presumed to have the same meaning in each authentic text.</w:t>
      </w:r>
    </w:p>
    <w:p w:rsidR="008A38E5" w:rsidRDefault="008A38E5" w:rsidP="008A38E5">
      <w:pPr>
        <w:tabs>
          <w:tab w:val="left" w:pos="8787"/>
        </w:tabs>
        <w:ind w:right="-33"/>
        <w:jc w:val="both"/>
        <w:rPr>
          <w:rFonts w:ascii="Verdana" w:hAnsi="Verdana"/>
          <w:sz w:val="24"/>
        </w:rPr>
      </w:pPr>
    </w:p>
    <w:p w:rsidR="008A38E5" w:rsidRPr="006D5431" w:rsidRDefault="008A38E5" w:rsidP="008A38E5">
      <w:pPr>
        <w:numPr>
          <w:ilvl w:val="0"/>
          <w:numId w:val="6"/>
        </w:numPr>
        <w:tabs>
          <w:tab w:val="left" w:pos="8787"/>
        </w:tabs>
        <w:ind w:right="-33"/>
        <w:jc w:val="both"/>
        <w:rPr>
          <w:rFonts w:ascii="Verdana" w:hAnsi="Verdana"/>
          <w:sz w:val="24"/>
        </w:rPr>
      </w:pPr>
      <w:r w:rsidRPr="006D5431">
        <w:rPr>
          <w:rFonts w:ascii="Verdana" w:hAnsi="Verdana"/>
          <w:sz w:val="24"/>
        </w:rPr>
        <w:lastRenderedPageBreak/>
        <w:t xml:space="preserve">Except where a particular text prevails in accordance with </w:t>
      </w:r>
      <w:proofErr w:type="spellStart"/>
      <w:r w:rsidRPr="006D5431">
        <w:rPr>
          <w:rFonts w:ascii="Verdana" w:hAnsi="Verdana"/>
          <w:sz w:val="24"/>
        </w:rPr>
        <w:t>para</w:t>
      </w:r>
      <w:proofErr w:type="spellEnd"/>
      <w:r w:rsidRPr="006D5431">
        <w:rPr>
          <w:rFonts w:ascii="Verdana" w:hAnsi="Verdana"/>
          <w:sz w:val="24"/>
        </w:rPr>
        <w:t xml:space="preserve"> 1, when a comparison of the authentic texts discloses a difference of meaning which the application of articles 31 and 32 does not remove, the meaning which best reconciles the texts, having regard to the object and purpose of the treaty, shall be adopted.</w:t>
      </w:r>
      <w:r w:rsidRPr="006D5431">
        <w:rPr>
          <w:rFonts w:ascii="Verdana" w:hAnsi="Verdana"/>
          <w:sz w:val="24"/>
        </w:rPr>
        <w:br/>
        <w:t> </w:t>
      </w:r>
    </w:p>
    <w:p w:rsidR="008A38E5" w:rsidRPr="006D5431" w:rsidRDefault="008A38E5" w:rsidP="008A38E5">
      <w:pPr>
        <w:pStyle w:val="paranormaltext"/>
        <w:tabs>
          <w:tab w:val="left" w:pos="8787"/>
        </w:tabs>
        <w:ind w:right="-33"/>
        <w:jc w:val="both"/>
        <w:rPr>
          <w:rFonts w:ascii="Verdana" w:hAnsi="Verdana"/>
          <w:sz w:val="24"/>
          <w:szCs w:val="24"/>
        </w:rPr>
      </w:pPr>
      <w:r w:rsidRPr="006D5431">
        <w:rPr>
          <w:rFonts w:ascii="Verdana" w:hAnsi="Verdana"/>
          <w:sz w:val="24"/>
          <w:szCs w:val="24"/>
        </w:rPr>
        <w:t>As can be seen from these articles on treaty interpretation, the WTO Agreement is to be interpreted according to the ordinary meaning of the words in the relevant provision, viewed in their context and in the light of the object and purpose of the agreement. The ordinary meaning of a term in a provision is to be discerned on the basis of the plain text. The definitions given to this term in a dictionary can be of assistance in that purpose. “Context” refers to the kinds of conclusions that can be drawn on the basis of, for example, the structure, content or terminology in other provisions belonging to the same agreement, particularly the ones preceding and following the rule subject to interpretation. The “object and purpose” refers to the explicit or implicit objective of the rule in question or the agreement as a whole.</w:t>
      </w:r>
    </w:p>
    <w:p w:rsidR="008A38E5" w:rsidRPr="006D5431" w:rsidRDefault="008A38E5" w:rsidP="008A38E5">
      <w:pPr>
        <w:pStyle w:val="paranormaltext"/>
        <w:tabs>
          <w:tab w:val="left" w:pos="8787"/>
        </w:tabs>
        <w:ind w:right="-33"/>
        <w:jc w:val="both"/>
        <w:rPr>
          <w:rFonts w:ascii="Verdana" w:hAnsi="Verdana"/>
          <w:sz w:val="24"/>
          <w:szCs w:val="24"/>
        </w:rPr>
      </w:pPr>
      <w:r w:rsidRPr="006D5431">
        <w:rPr>
          <w:rFonts w:ascii="Verdana" w:hAnsi="Verdana"/>
          <w:sz w:val="24"/>
          <w:szCs w:val="24"/>
        </w:rPr>
        <w:t>In practice, panels and the Appellate Body seem to rely more on the ordinary meaning and on the context than on the object and purpose of the provisions to be interpreted. The negotiating history of the agreement is merely a subsidiary tool of interpretation (</w:t>
      </w:r>
      <w:hyperlink r:id="rId20" w:anchor="art32#art32" w:history="1">
        <w:r w:rsidRPr="006D5431">
          <w:rPr>
            <w:rStyle w:val="Hyperlink"/>
            <w:rFonts w:ascii="Verdana" w:hAnsi="Verdana"/>
            <w:sz w:val="24"/>
            <w:szCs w:val="24"/>
          </w:rPr>
          <w:t>Article 32</w:t>
        </w:r>
      </w:hyperlink>
      <w:r w:rsidRPr="006D5431">
        <w:rPr>
          <w:rFonts w:ascii="Verdana" w:hAnsi="Verdana"/>
          <w:sz w:val="24"/>
          <w:szCs w:val="24"/>
        </w:rPr>
        <w:t xml:space="preserve"> of the Vienna Convention). This tool is to be used only as confirmation of the interpretation according to the ordinary meaning, context and object and purpose or if that interpretative result is ambiguous, obscure, manifestly absurd or unreasonable. One of the corollaries of the rules on interpretation is that meaning and effect must be given to all terms of an agreement, rather than reducing whole parts of an agreement to redundancy or inutility</w:t>
      </w:r>
      <w:bookmarkStart w:id="5" w:name="txt2"/>
      <w:bookmarkEnd w:id="5"/>
      <w:r w:rsidR="008E6E10" w:rsidRPr="006D5431">
        <w:rPr>
          <w:rFonts w:ascii="Verdana" w:hAnsi="Verdana"/>
          <w:sz w:val="24"/>
          <w:szCs w:val="24"/>
          <w:vertAlign w:val="superscript"/>
        </w:rPr>
        <w:fldChar w:fldCharType="begin"/>
      </w:r>
      <w:r w:rsidRPr="006D5431">
        <w:rPr>
          <w:rFonts w:ascii="Verdana" w:hAnsi="Verdana"/>
          <w:sz w:val="24"/>
          <w:szCs w:val="24"/>
          <w:vertAlign w:val="superscript"/>
        </w:rPr>
        <w:instrText xml:space="preserve"> HYPERLINK "http://www.wto.org/english/tratop_e/dispu_e/disp_settlement_cbt_e/c1s3p2_e.htm" \l "fnt2#fnt2" </w:instrText>
      </w:r>
      <w:r w:rsidR="008E6E10" w:rsidRPr="006D5431">
        <w:rPr>
          <w:rFonts w:ascii="Verdana" w:hAnsi="Verdana"/>
          <w:sz w:val="24"/>
          <w:szCs w:val="24"/>
          <w:vertAlign w:val="superscript"/>
        </w:rPr>
        <w:fldChar w:fldCharType="separate"/>
      </w:r>
      <w:r w:rsidRPr="006D5431">
        <w:rPr>
          <w:rStyle w:val="Hyperlink"/>
          <w:rFonts w:ascii="Verdana" w:hAnsi="Verdana"/>
          <w:sz w:val="24"/>
          <w:szCs w:val="24"/>
          <w:vertAlign w:val="superscript"/>
        </w:rPr>
        <w:t>2</w:t>
      </w:r>
      <w:r w:rsidR="008E6E10" w:rsidRPr="006D5431">
        <w:rPr>
          <w:rFonts w:ascii="Verdana" w:hAnsi="Verdana"/>
          <w:sz w:val="24"/>
          <w:szCs w:val="24"/>
          <w:vertAlign w:val="superscript"/>
        </w:rPr>
        <w:fldChar w:fldCharType="end"/>
      </w:r>
      <w:r w:rsidRPr="006D5431">
        <w:rPr>
          <w:rFonts w:ascii="Verdana" w:hAnsi="Verdana"/>
          <w:sz w:val="24"/>
          <w:szCs w:val="24"/>
        </w:rPr>
        <w:t xml:space="preserve"> Conversely, the process of interpretation does not permit reading words into an agreement that are not there</w:t>
      </w:r>
      <w:bookmarkStart w:id="6" w:name="txt3"/>
      <w:bookmarkEnd w:id="6"/>
      <w:r w:rsidR="008E6E10" w:rsidRPr="006D5431">
        <w:rPr>
          <w:rFonts w:ascii="Verdana" w:hAnsi="Verdana"/>
          <w:sz w:val="24"/>
          <w:szCs w:val="24"/>
          <w:vertAlign w:val="superscript"/>
        </w:rPr>
        <w:fldChar w:fldCharType="begin"/>
      </w:r>
      <w:r w:rsidRPr="006D5431">
        <w:rPr>
          <w:rFonts w:ascii="Verdana" w:hAnsi="Verdana"/>
          <w:sz w:val="24"/>
          <w:szCs w:val="24"/>
          <w:vertAlign w:val="superscript"/>
        </w:rPr>
        <w:instrText xml:space="preserve"> HYPERLINK "http://www.wto.org/english/tratop_e/dispu_e/disp_settlement_cbt_e/c1s3p2_e.htm" \l "fnt3#fnt3" </w:instrText>
      </w:r>
      <w:r w:rsidR="008E6E10" w:rsidRPr="006D5431">
        <w:rPr>
          <w:rFonts w:ascii="Verdana" w:hAnsi="Verdana"/>
          <w:sz w:val="24"/>
          <w:szCs w:val="24"/>
          <w:vertAlign w:val="superscript"/>
        </w:rPr>
        <w:fldChar w:fldCharType="separate"/>
      </w:r>
      <w:r w:rsidRPr="006D5431">
        <w:rPr>
          <w:rStyle w:val="Hyperlink"/>
          <w:rFonts w:ascii="Verdana" w:hAnsi="Verdana"/>
          <w:sz w:val="24"/>
          <w:szCs w:val="24"/>
          <w:vertAlign w:val="superscript"/>
        </w:rPr>
        <w:t>3</w:t>
      </w:r>
      <w:r w:rsidR="008E6E10" w:rsidRPr="006D5431">
        <w:rPr>
          <w:rFonts w:ascii="Verdana" w:hAnsi="Verdana"/>
          <w:sz w:val="24"/>
          <w:szCs w:val="24"/>
          <w:vertAlign w:val="superscript"/>
        </w:rPr>
        <w:fldChar w:fldCharType="end"/>
      </w:r>
      <w:r w:rsidRPr="006D5431">
        <w:rPr>
          <w:rFonts w:ascii="Verdana" w:hAnsi="Verdana"/>
          <w:sz w:val="24"/>
          <w:szCs w:val="24"/>
        </w:rPr>
        <w:t xml:space="preserve">. With respect to </w:t>
      </w:r>
      <w:hyperlink r:id="rId21" w:anchor="art33#art33" w:history="1">
        <w:r w:rsidRPr="006D5431">
          <w:rPr>
            <w:rStyle w:val="Hyperlink"/>
            <w:rFonts w:ascii="Verdana" w:hAnsi="Verdana"/>
            <w:sz w:val="24"/>
            <w:szCs w:val="24"/>
          </w:rPr>
          <w:t>Article 33</w:t>
        </w:r>
      </w:hyperlink>
      <w:r w:rsidRPr="006D5431">
        <w:rPr>
          <w:rFonts w:ascii="Verdana" w:hAnsi="Verdana"/>
          <w:sz w:val="24"/>
          <w:szCs w:val="24"/>
        </w:rPr>
        <w:t xml:space="preserve"> of the Vienna Convention, the WTO Agreement is authentic in English, French and Spanish. </w:t>
      </w:r>
    </w:p>
    <w:p w:rsidR="008A38E5" w:rsidRPr="006D5431" w:rsidRDefault="008E6E10" w:rsidP="008A38E5">
      <w:pPr>
        <w:pStyle w:val="parasmallboldtext"/>
        <w:numPr>
          <w:ilvl w:val="0"/>
          <w:numId w:val="7"/>
        </w:numPr>
        <w:ind w:right="-33"/>
        <w:jc w:val="both"/>
        <w:rPr>
          <w:rFonts w:ascii="Verdana" w:hAnsi="Verdana"/>
          <w:b w:val="0"/>
          <w:sz w:val="24"/>
          <w:szCs w:val="24"/>
        </w:rPr>
      </w:pPr>
      <w:hyperlink r:id="rId22" w:anchor="us_gasoline" w:history="1">
        <w:r w:rsidR="008A38E5" w:rsidRPr="006D5431">
          <w:rPr>
            <w:rStyle w:val="Hyperlink"/>
            <w:rFonts w:ascii="Verdana" w:hAnsi="Verdana"/>
            <w:b w:val="0"/>
            <w:sz w:val="24"/>
            <w:szCs w:val="24"/>
          </w:rPr>
          <w:t>Appellate Body Report, US Gasoline</w:t>
        </w:r>
      </w:hyperlink>
      <w:r w:rsidR="008A38E5" w:rsidRPr="006D5431">
        <w:rPr>
          <w:rFonts w:ascii="Verdana" w:hAnsi="Verdana"/>
          <w:b w:val="0"/>
          <w:sz w:val="24"/>
          <w:szCs w:val="24"/>
        </w:rPr>
        <w:t xml:space="preserve"> DSR 1996:I, 3 at p23, </w:t>
      </w:r>
      <w:hyperlink r:id="rId23" w:anchor="japan_alcoholic_beverages_app" w:history="1">
        <w:r w:rsidR="008A38E5" w:rsidRPr="006D5431">
          <w:rPr>
            <w:rStyle w:val="Hyperlink"/>
            <w:rFonts w:ascii="Verdana" w:hAnsi="Verdana"/>
            <w:b w:val="0"/>
            <w:sz w:val="24"/>
            <w:szCs w:val="24"/>
          </w:rPr>
          <w:t>Appellate Body Report, Japan — Alcoholic Beverages II</w:t>
        </w:r>
      </w:hyperlink>
      <w:r w:rsidR="008A38E5" w:rsidRPr="006D5431">
        <w:rPr>
          <w:rFonts w:ascii="Verdana" w:hAnsi="Verdana"/>
          <w:b w:val="0"/>
          <w:sz w:val="24"/>
          <w:szCs w:val="24"/>
        </w:rPr>
        <w:t xml:space="preserve"> DSR 1996:I, 97 at p104 </w:t>
      </w:r>
    </w:p>
    <w:bookmarkStart w:id="7" w:name="fnt2"/>
    <w:bookmarkEnd w:id="7"/>
    <w:p w:rsidR="008A38E5" w:rsidRPr="006D5431" w:rsidRDefault="008E6E10" w:rsidP="008A38E5">
      <w:pPr>
        <w:pStyle w:val="parasmalltext"/>
        <w:numPr>
          <w:ilvl w:val="0"/>
          <w:numId w:val="7"/>
        </w:numPr>
        <w:jc w:val="both"/>
        <w:rPr>
          <w:rFonts w:ascii="Verdana" w:hAnsi="Verdana"/>
          <w:sz w:val="24"/>
          <w:szCs w:val="24"/>
        </w:rPr>
      </w:pPr>
      <w:r w:rsidRPr="006D5431">
        <w:rPr>
          <w:rFonts w:ascii="Verdana" w:hAnsi="Verdana"/>
          <w:sz w:val="24"/>
          <w:szCs w:val="24"/>
        </w:rPr>
        <w:fldChar w:fldCharType="begin"/>
      </w:r>
      <w:r w:rsidR="008A38E5" w:rsidRPr="006D5431">
        <w:rPr>
          <w:rFonts w:ascii="Verdana" w:hAnsi="Verdana"/>
          <w:sz w:val="24"/>
          <w:szCs w:val="24"/>
        </w:rPr>
        <w:instrText xml:space="preserve"> HYPERLINK "http://www.wto.org/english/tratop_e/dispu_e/disp_settlement_cbt_e/a1s1p1_e.htm" \l "us_gasoline" </w:instrText>
      </w:r>
      <w:r w:rsidRPr="006D5431">
        <w:rPr>
          <w:rFonts w:ascii="Verdana" w:hAnsi="Verdana"/>
          <w:sz w:val="24"/>
          <w:szCs w:val="24"/>
        </w:rPr>
        <w:fldChar w:fldCharType="separate"/>
      </w:r>
      <w:r w:rsidR="008A38E5" w:rsidRPr="006D5431">
        <w:rPr>
          <w:rStyle w:val="Hyperlink"/>
          <w:rFonts w:ascii="Verdana" w:hAnsi="Verdana"/>
          <w:sz w:val="24"/>
          <w:szCs w:val="24"/>
        </w:rPr>
        <w:t>Appellate Body Report, US Gasoline</w:t>
      </w:r>
      <w:r w:rsidRPr="006D5431">
        <w:rPr>
          <w:rFonts w:ascii="Verdana" w:hAnsi="Verdana"/>
          <w:sz w:val="24"/>
          <w:szCs w:val="24"/>
        </w:rPr>
        <w:fldChar w:fldCharType="end"/>
      </w:r>
      <w:r w:rsidR="008A38E5" w:rsidRPr="006D5431">
        <w:rPr>
          <w:rFonts w:ascii="Verdana" w:hAnsi="Verdana"/>
          <w:sz w:val="24"/>
          <w:szCs w:val="24"/>
        </w:rPr>
        <w:t xml:space="preserve"> DSR 1996:I, 3 at p23  </w:t>
      </w:r>
    </w:p>
    <w:bookmarkStart w:id="8" w:name="fnt3"/>
    <w:bookmarkEnd w:id="8"/>
    <w:p w:rsidR="008A38E5" w:rsidRDefault="008E6E10" w:rsidP="008A38E5">
      <w:pPr>
        <w:numPr>
          <w:ilvl w:val="0"/>
          <w:numId w:val="7"/>
        </w:numPr>
        <w:ind w:right="-33"/>
        <w:jc w:val="both"/>
        <w:rPr>
          <w:rFonts w:ascii="Verdana" w:hAnsi="Verdana"/>
          <w:b/>
          <w:u w:val="single"/>
        </w:rPr>
      </w:pPr>
      <w:r w:rsidRPr="006D5431">
        <w:rPr>
          <w:rFonts w:ascii="Verdana" w:hAnsi="Verdana"/>
          <w:sz w:val="24"/>
        </w:rPr>
        <w:fldChar w:fldCharType="begin"/>
      </w:r>
      <w:r w:rsidR="008A38E5" w:rsidRPr="006D5431">
        <w:rPr>
          <w:rFonts w:ascii="Verdana" w:hAnsi="Verdana"/>
          <w:sz w:val="24"/>
        </w:rPr>
        <w:instrText xml:space="preserve"> HYPERLINK "http://www.wto.org/english/tratop_e/dispu_e/disp_settlement_cbt_e/a1s1p1_e.htm" \l "ec_computer_equipment" </w:instrText>
      </w:r>
      <w:r w:rsidRPr="006D5431">
        <w:rPr>
          <w:rFonts w:ascii="Verdana" w:hAnsi="Verdana"/>
          <w:sz w:val="24"/>
        </w:rPr>
        <w:fldChar w:fldCharType="separate"/>
      </w:r>
      <w:r w:rsidR="008A38E5" w:rsidRPr="006D5431">
        <w:rPr>
          <w:rStyle w:val="Hyperlink"/>
          <w:rFonts w:ascii="Verdana" w:hAnsi="Verdana"/>
          <w:sz w:val="24"/>
        </w:rPr>
        <w:t>Appellate Body Report, Computer Equipment</w:t>
      </w:r>
      <w:r w:rsidRPr="006D5431">
        <w:rPr>
          <w:rFonts w:ascii="Verdana" w:hAnsi="Verdana"/>
          <w:sz w:val="24"/>
        </w:rPr>
        <w:fldChar w:fldCharType="end"/>
      </w:r>
      <w:r w:rsidR="008A38E5" w:rsidRPr="006D5431">
        <w:rPr>
          <w:rFonts w:ascii="Verdana" w:hAnsi="Verdana"/>
          <w:sz w:val="24"/>
        </w:rPr>
        <w:t xml:space="preserve"> </w:t>
      </w:r>
      <w:proofErr w:type="spellStart"/>
      <w:r w:rsidR="008A38E5" w:rsidRPr="006D5431">
        <w:rPr>
          <w:rFonts w:ascii="Verdana" w:hAnsi="Verdana"/>
          <w:sz w:val="24"/>
        </w:rPr>
        <w:t>para</w:t>
      </w:r>
      <w:proofErr w:type="spellEnd"/>
      <w:r w:rsidR="008A38E5" w:rsidRPr="006D5431">
        <w:rPr>
          <w:rFonts w:ascii="Verdana" w:hAnsi="Verdana"/>
          <w:sz w:val="24"/>
        </w:rPr>
        <w:t>. 83 </w:t>
      </w:r>
    </w:p>
    <w:p w:rsidR="008A38E5" w:rsidRDefault="008A38E5" w:rsidP="008A38E5">
      <w:pPr>
        <w:rPr>
          <w:rFonts w:ascii="Verdana" w:hAnsi="Verdana"/>
          <w:sz w:val="24"/>
        </w:rPr>
      </w:pPr>
    </w:p>
    <w:p w:rsidR="008A38E5" w:rsidRDefault="008A38E5" w:rsidP="008A38E5">
      <w:pPr>
        <w:ind w:left="1440"/>
        <w:jc w:val="both"/>
        <w:rPr>
          <w:rFonts w:ascii="Verdana" w:hAnsi="Verdana"/>
          <w:sz w:val="24"/>
        </w:rPr>
      </w:pPr>
    </w:p>
    <w:p w:rsidR="008A38E5" w:rsidRDefault="008A38E5" w:rsidP="008A38E5">
      <w:pPr>
        <w:ind w:left="1440"/>
        <w:jc w:val="both"/>
        <w:rPr>
          <w:rFonts w:ascii="Verdana" w:hAnsi="Verdana"/>
          <w:sz w:val="24"/>
        </w:rPr>
      </w:pPr>
    </w:p>
    <w:p w:rsidR="008A38E5" w:rsidRDefault="008A38E5" w:rsidP="008A38E5">
      <w:pPr>
        <w:ind w:left="1440"/>
        <w:jc w:val="both"/>
        <w:rPr>
          <w:rFonts w:ascii="Verdana" w:hAnsi="Verdana"/>
          <w:sz w:val="24"/>
        </w:rPr>
      </w:pPr>
    </w:p>
    <w:p w:rsidR="008A38E5" w:rsidRDefault="008A38E5" w:rsidP="008A38E5">
      <w:pPr>
        <w:ind w:left="1440"/>
        <w:jc w:val="both"/>
        <w:rPr>
          <w:rFonts w:ascii="Verdana" w:hAnsi="Verdana"/>
          <w:sz w:val="24"/>
        </w:rPr>
      </w:pPr>
    </w:p>
    <w:p w:rsidR="008A38E5" w:rsidRDefault="008A38E5" w:rsidP="008A38E5">
      <w:pPr>
        <w:ind w:left="1440"/>
        <w:jc w:val="both"/>
        <w:rPr>
          <w:rFonts w:ascii="Verdana" w:hAnsi="Verdana"/>
          <w:sz w:val="24"/>
        </w:rPr>
      </w:pPr>
    </w:p>
    <w:p w:rsidR="008A38E5" w:rsidRPr="006D5431" w:rsidRDefault="008A38E5" w:rsidP="008A38E5">
      <w:pPr>
        <w:ind w:left="1440"/>
        <w:jc w:val="both"/>
        <w:rPr>
          <w:rFonts w:ascii="Verdana" w:hAnsi="Verdana"/>
          <w:sz w:val="24"/>
        </w:rPr>
      </w:pPr>
    </w:p>
    <w:p w:rsidR="008A38E5" w:rsidRPr="006D5431" w:rsidRDefault="008A38E5" w:rsidP="008A38E5">
      <w:pPr>
        <w:ind w:left="360"/>
        <w:jc w:val="both"/>
        <w:rPr>
          <w:rFonts w:ascii="Verdana" w:hAnsi="Verdana"/>
          <w:b/>
          <w:sz w:val="24"/>
        </w:rPr>
      </w:pPr>
      <w:r w:rsidRPr="006D5431">
        <w:rPr>
          <w:rFonts w:ascii="Verdana" w:hAnsi="Verdana"/>
          <w:b/>
          <w:sz w:val="24"/>
          <w:u w:val="single"/>
        </w:rPr>
        <w:lastRenderedPageBreak/>
        <w:t>Summary of procedure</w:t>
      </w:r>
    </w:p>
    <w:p w:rsidR="008A38E5" w:rsidRPr="006D5431" w:rsidRDefault="008A38E5" w:rsidP="008A38E5">
      <w:pPr>
        <w:autoSpaceDE w:val="0"/>
        <w:autoSpaceDN w:val="0"/>
        <w:adjustRightInd w:val="0"/>
        <w:ind w:left="1440"/>
        <w:jc w:val="both"/>
        <w:rPr>
          <w:rFonts w:ascii="Verdana" w:hAnsi="Verdana"/>
          <w:sz w:val="24"/>
          <w:lang w:eastAsia="en-GB"/>
        </w:rPr>
      </w:pPr>
    </w:p>
    <w:tbl>
      <w:tblPr>
        <w:tblW w:w="9841" w:type="dxa"/>
        <w:tblCellSpacing w:w="7" w:type="dxa"/>
        <w:tblInd w:w="14" w:type="dxa"/>
        <w:tblCellMar>
          <w:top w:w="45" w:type="dxa"/>
          <w:left w:w="45" w:type="dxa"/>
          <w:bottom w:w="45" w:type="dxa"/>
          <w:right w:w="45" w:type="dxa"/>
        </w:tblCellMar>
        <w:tblLook w:val="0000"/>
      </w:tblPr>
      <w:tblGrid>
        <w:gridCol w:w="2433"/>
        <w:gridCol w:w="7408"/>
      </w:tblGrid>
      <w:tr w:rsidR="008A38E5" w:rsidRPr="006D5431" w:rsidTr="002F2435">
        <w:trPr>
          <w:tblCellSpacing w:w="7" w:type="dxa"/>
        </w:trPr>
        <w:tc>
          <w:tcPr>
            <w:tcW w:w="0" w:type="auto"/>
            <w:gridSpan w:val="2"/>
            <w:shd w:val="clear" w:color="auto" w:fill="E5E5E5"/>
            <w:vAlign w:val="center"/>
          </w:tcPr>
          <w:p w:rsidR="008A38E5" w:rsidRPr="006D5431" w:rsidRDefault="008A38E5" w:rsidP="002F2435">
            <w:pPr>
              <w:pStyle w:val="paraboldcolourtext"/>
              <w:rPr>
                <w:rFonts w:ascii="Verdana" w:hAnsi="Verdana"/>
                <w:b w:val="0"/>
                <w:sz w:val="24"/>
                <w:szCs w:val="24"/>
              </w:rPr>
            </w:pPr>
            <w:r w:rsidRPr="006D5431">
              <w:rPr>
                <w:rFonts w:ascii="Verdana" w:hAnsi="Verdana"/>
                <w:b w:val="0"/>
                <w:bCs w:val="0"/>
                <w:sz w:val="24"/>
                <w:szCs w:val="24"/>
              </w:rPr>
              <w:t xml:space="preserve"> </w:t>
            </w:r>
            <w:r w:rsidRPr="006D5431">
              <w:rPr>
                <w:rFonts w:ascii="Verdana" w:hAnsi="Verdana"/>
                <w:b w:val="0"/>
                <w:sz w:val="24"/>
                <w:szCs w:val="24"/>
              </w:rPr>
              <w:t xml:space="preserve">How long to settle a dispute </w:t>
            </w:r>
          </w:p>
          <w:p w:rsidR="008A38E5" w:rsidRPr="006D5431" w:rsidRDefault="008A38E5" w:rsidP="002F2435">
            <w:pPr>
              <w:pStyle w:val="paranormaltext"/>
              <w:rPr>
                <w:rFonts w:ascii="Verdana" w:hAnsi="Verdana"/>
                <w:sz w:val="24"/>
                <w:szCs w:val="24"/>
              </w:rPr>
            </w:pPr>
            <w:r w:rsidRPr="006D5431">
              <w:rPr>
                <w:rFonts w:ascii="Verdana" w:hAnsi="Verdana"/>
                <w:sz w:val="24"/>
                <w:szCs w:val="24"/>
              </w:rPr>
              <w:t>These approximate periods for each stage of a dispute settlement procedure are target figures — the agreement is flexible. In addition, the countries can settle their dispute themselves at any stage. Totals are also approximate.</w:t>
            </w:r>
          </w:p>
        </w:tc>
      </w:tr>
      <w:tr w:rsidR="008A38E5" w:rsidRPr="006D5431" w:rsidTr="002F2435">
        <w:trPr>
          <w:tblCellSpacing w:w="7" w:type="dxa"/>
        </w:trPr>
        <w:tc>
          <w:tcPr>
            <w:tcW w:w="0" w:type="auto"/>
            <w:shd w:val="clear" w:color="auto" w:fill="E5E5E5"/>
            <w:vAlign w:val="center"/>
          </w:tcPr>
          <w:p w:rsidR="008A38E5" w:rsidRPr="006D5431" w:rsidRDefault="008A38E5" w:rsidP="002F2435">
            <w:pPr>
              <w:pStyle w:val="paranormaltext"/>
              <w:rPr>
                <w:rFonts w:ascii="Verdana" w:hAnsi="Verdana"/>
                <w:sz w:val="24"/>
                <w:szCs w:val="24"/>
              </w:rPr>
            </w:pPr>
            <w:r w:rsidRPr="006D5431">
              <w:rPr>
                <w:rFonts w:ascii="Verdana" w:hAnsi="Verdana"/>
                <w:sz w:val="24"/>
                <w:szCs w:val="24"/>
              </w:rPr>
              <w:t>60 days</w:t>
            </w:r>
          </w:p>
        </w:tc>
        <w:tc>
          <w:tcPr>
            <w:tcW w:w="0" w:type="auto"/>
            <w:shd w:val="clear" w:color="auto" w:fill="E5E5E5"/>
            <w:vAlign w:val="center"/>
          </w:tcPr>
          <w:p w:rsidR="008A38E5" w:rsidRPr="006D5431" w:rsidRDefault="008A38E5" w:rsidP="002F2435">
            <w:pPr>
              <w:pStyle w:val="paranormaltext"/>
              <w:rPr>
                <w:rFonts w:ascii="Verdana" w:hAnsi="Verdana"/>
                <w:sz w:val="24"/>
                <w:szCs w:val="24"/>
              </w:rPr>
            </w:pPr>
            <w:r w:rsidRPr="006D5431">
              <w:rPr>
                <w:rFonts w:ascii="Verdana" w:hAnsi="Verdana"/>
                <w:sz w:val="24"/>
                <w:szCs w:val="24"/>
              </w:rPr>
              <w:t>Consultations, mediation, etc</w:t>
            </w:r>
          </w:p>
        </w:tc>
      </w:tr>
      <w:tr w:rsidR="008A38E5" w:rsidRPr="006D5431" w:rsidTr="002F2435">
        <w:trPr>
          <w:tblCellSpacing w:w="7" w:type="dxa"/>
        </w:trPr>
        <w:tc>
          <w:tcPr>
            <w:tcW w:w="0" w:type="auto"/>
            <w:shd w:val="clear" w:color="auto" w:fill="E5E5E5"/>
            <w:vAlign w:val="center"/>
          </w:tcPr>
          <w:p w:rsidR="008A38E5" w:rsidRPr="006D5431" w:rsidRDefault="008A38E5" w:rsidP="002F2435">
            <w:pPr>
              <w:pStyle w:val="paranormaltext"/>
              <w:rPr>
                <w:rFonts w:ascii="Verdana" w:hAnsi="Verdana"/>
                <w:sz w:val="24"/>
                <w:szCs w:val="24"/>
              </w:rPr>
            </w:pPr>
            <w:r w:rsidRPr="006D5431">
              <w:rPr>
                <w:rFonts w:ascii="Verdana" w:hAnsi="Verdana"/>
                <w:sz w:val="24"/>
                <w:szCs w:val="24"/>
              </w:rPr>
              <w:t>45 days</w:t>
            </w:r>
          </w:p>
        </w:tc>
        <w:tc>
          <w:tcPr>
            <w:tcW w:w="0" w:type="auto"/>
            <w:shd w:val="clear" w:color="auto" w:fill="E5E5E5"/>
            <w:vAlign w:val="center"/>
          </w:tcPr>
          <w:p w:rsidR="008A38E5" w:rsidRPr="006D5431" w:rsidRDefault="008A38E5" w:rsidP="002F2435">
            <w:pPr>
              <w:pStyle w:val="paranormaltext"/>
              <w:rPr>
                <w:rFonts w:ascii="Verdana" w:hAnsi="Verdana"/>
                <w:sz w:val="24"/>
                <w:szCs w:val="24"/>
              </w:rPr>
            </w:pPr>
            <w:r w:rsidRPr="006D5431">
              <w:rPr>
                <w:rFonts w:ascii="Verdana" w:hAnsi="Verdana"/>
                <w:sz w:val="24"/>
                <w:szCs w:val="24"/>
              </w:rPr>
              <w:t>Panel set up and panellists appointed</w:t>
            </w:r>
          </w:p>
        </w:tc>
      </w:tr>
      <w:tr w:rsidR="008A38E5" w:rsidRPr="006D5431" w:rsidTr="002F2435">
        <w:trPr>
          <w:tblCellSpacing w:w="7" w:type="dxa"/>
        </w:trPr>
        <w:tc>
          <w:tcPr>
            <w:tcW w:w="0" w:type="auto"/>
            <w:shd w:val="clear" w:color="auto" w:fill="E5E5E5"/>
            <w:vAlign w:val="center"/>
          </w:tcPr>
          <w:p w:rsidR="008A38E5" w:rsidRPr="006D5431" w:rsidRDefault="008A38E5" w:rsidP="002F2435">
            <w:pPr>
              <w:pStyle w:val="paranormaltext"/>
              <w:rPr>
                <w:rFonts w:ascii="Verdana" w:hAnsi="Verdana"/>
                <w:sz w:val="24"/>
                <w:szCs w:val="24"/>
              </w:rPr>
            </w:pPr>
            <w:r w:rsidRPr="006D5431">
              <w:rPr>
                <w:rFonts w:ascii="Verdana" w:hAnsi="Verdana"/>
                <w:sz w:val="24"/>
                <w:szCs w:val="24"/>
              </w:rPr>
              <w:t>6 months</w:t>
            </w:r>
          </w:p>
        </w:tc>
        <w:tc>
          <w:tcPr>
            <w:tcW w:w="0" w:type="auto"/>
            <w:shd w:val="clear" w:color="auto" w:fill="E5E5E5"/>
            <w:vAlign w:val="center"/>
          </w:tcPr>
          <w:p w:rsidR="008A38E5" w:rsidRPr="006D5431" w:rsidRDefault="008A38E5" w:rsidP="002F2435">
            <w:pPr>
              <w:pStyle w:val="paranormaltext"/>
              <w:rPr>
                <w:rFonts w:ascii="Verdana" w:hAnsi="Verdana"/>
                <w:sz w:val="24"/>
                <w:szCs w:val="24"/>
              </w:rPr>
            </w:pPr>
            <w:r w:rsidRPr="006D5431">
              <w:rPr>
                <w:rFonts w:ascii="Verdana" w:hAnsi="Verdana"/>
                <w:sz w:val="24"/>
                <w:szCs w:val="24"/>
              </w:rPr>
              <w:t>Final panel report to parties</w:t>
            </w:r>
          </w:p>
        </w:tc>
      </w:tr>
      <w:tr w:rsidR="008A38E5" w:rsidRPr="006D5431" w:rsidTr="002F2435">
        <w:trPr>
          <w:tblCellSpacing w:w="7" w:type="dxa"/>
        </w:trPr>
        <w:tc>
          <w:tcPr>
            <w:tcW w:w="0" w:type="auto"/>
            <w:shd w:val="clear" w:color="auto" w:fill="E5E5E5"/>
            <w:vAlign w:val="center"/>
          </w:tcPr>
          <w:p w:rsidR="008A38E5" w:rsidRPr="006D5431" w:rsidRDefault="008A38E5" w:rsidP="002F2435">
            <w:pPr>
              <w:pStyle w:val="paranormaltext"/>
              <w:rPr>
                <w:rFonts w:ascii="Verdana" w:hAnsi="Verdana"/>
                <w:sz w:val="24"/>
                <w:szCs w:val="24"/>
              </w:rPr>
            </w:pPr>
            <w:r w:rsidRPr="006D5431">
              <w:rPr>
                <w:rFonts w:ascii="Verdana" w:hAnsi="Verdana"/>
                <w:sz w:val="24"/>
                <w:szCs w:val="24"/>
              </w:rPr>
              <w:t>3 weeks</w:t>
            </w:r>
          </w:p>
        </w:tc>
        <w:tc>
          <w:tcPr>
            <w:tcW w:w="0" w:type="auto"/>
            <w:shd w:val="clear" w:color="auto" w:fill="E5E5E5"/>
            <w:vAlign w:val="center"/>
          </w:tcPr>
          <w:p w:rsidR="008A38E5" w:rsidRPr="006D5431" w:rsidRDefault="008A38E5" w:rsidP="002F2435">
            <w:pPr>
              <w:pStyle w:val="paranormaltext"/>
              <w:rPr>
                <w:rFonts w:ascii="Verdana" w:hAnsi="Verdana"/>
                <w:sz w:val="24"/>
                <w:szCs w:val="24"/>
              </w:rPr>
            </w:pPr>
            <w:r w:rsidRPr="006D5431">
              <w:rPr>
                <w:rFonts w:ascii="Verdana" w:hAnsi="Verdana"/>
                <w:sz w:val="24"/>
                <w:szCs w:val="24"/>
              </w:rPr>
              <w:t>Final panel report to WTO members</w:t>
            </w:r>
          </w:p>
        </w:tc>
      </w:tr>
      <w:tr w:rsidR="008A38E5" w:rsidRPr="006D5431" w:rsidTr="002F2435">
        <w:trPr>
          <w:tblCellSpacing w:w="7" w:type="dxa"/>
        </w:trPr>
        <w:tc>
          <w:tcPr>
            <w:tcW w:w="0" w:type="auto"/>
            <w:shd w:val="clear" w:color="auto" w:fill="E5E5E5"/>
            <w:vAlign w:val="center"/>
          </w:tcPr>
          <w:p w:rsidR="008A38E5" w:rsidRPr="006D5431" w:rsidRDefault="008A38E5" w:rsidP="002F2435">
            <w:pPr>
              <w:pStyle w:val="paranormaltext"/>
              <w:rPr>
                <w:rFonts w:ascii="Verdana" w:hAnsi="Verdana"/>
                <w:sz w:val="24"/>
                <w:szCs w:val="24"/>
              </w:rPr>
            </w:pPr>
            <w:r w:rsidRPr="006D5431">
              <w:rPr>
                <w:rFonts w:ascii="Verdana" w:hAnsi="Verdana"/>
                <w:sz w:val="24"/>
                <w:szCs w:val="24"/>
              </w:rPr>
              <w:t>60 days</w:t>
            </w:r>
          </w:p>
        </w:tc>
        <w:tc>
          <w:tcPr>
            <w:tcW w:w="0" w:type="auto"/>
            <w:shd w:val="clear" w:color="auto" w:fill="E5E5E5"/>
            <w:vAlign w:val="center"/>
          </w:tcPr>
          <w:p w:rsidR="008A38E5" w:rsidRPr="006D5431" w:rsidRDefault="008A38E5" w:rsidP="002F2435">
            <w:pPr>
              <w:pStyle w:val="paranormaltext"/>
              <w:rPr>
                <w:rFonts w:ascii="Verdana" w:hAnsi="Verdana"/>
                <w:sz w:val="24"/>
                <w:szCs w:val="24"/>
              </w:rPr>
            </w:pPr>
            <w:r w:rsidRPr="006D5431">
              <w:rPr>
                <w:rFonts w:ascii="Verdana" w:hAnsi="Verdana"/>
                <w:sz w:val="24"/>
                <w:szCs w:val="24"/>
              </w:rPr>
              <w:t>Dispute Settlement Body adopts report (if no appeal)</w:t>
            </w:r>
          </w:p>
        </w:tc>
      </w:tr>
      <w:tr w:rsidR="008A38E5" w:rsidRPr="006D5431" w:rsidTr="002F2435">
        <w:trPr>
          <w:tblCellSpacing w:w="7" w:type="dxa"/>
        </w:trPr>
        <w:tc>
          <w:tcPr>
            <w:tcW w:w="0" w:type="auto"/>
            <w:shd w:val="clear" w:color="auto" w:fill="E5E5E5"/>
            <w:vAlign w:val="center"/>
          </w:tcPr>
          <w:p w:rsidR="008A38E5" w:rsidRPr="006D5431" w:rsidRDefault="008A38E5" w:rsidP="002F2435">
            <w:pPr>
              <w:pStyle w:val="paranormaltext"/>
              <w:rPr>
                <w:rFonts w:ascii="Verdana" w:hAnsi="Verdana"/>
                <w:sz w:val="24"/>
                <w:szCs w:val="24"/>
              </w:rPr>
            </w:pPr>
            <w:r w:rsidRPr="006D5431">
              <w:rPr>
                <w:rFonts w:ascii="Verdana" w:hAnsi="Verdana"/>
                <w:bCs/>
                <w:sz w:val="24"/>
                <w:szCs w:val="24"/>
              </w:rPr>
              <w:t>Total = 1 year</w:t>
            </w:r>
          </w:p>
        </w:tc>
        <w:tc>
          <w:tcPr>
            <w:tcW w:w="0" w:type="auto"/>
            <w:shd w:val="clear" w:color="auto" w:fill="E5E5E5"/>
            <w:vAlign w:val="center"/>
          </w:tcPr>
          <w:p w:rsidR="008A38E5" w:rsidRPr="006D5431" w:rsidRDefault="008A38E5" w:rsidP="002F2435">
            <w:pPr>
              <w:pStyle w:val="paranormaltext"/>
              <w:rPr>
                <w:rFonts w:ascii="Verdana" w:hAnsi="Verdana"/>
                <w:sz w:val="24"/>
                <w:szCs w:val="24"/>
              </w:rPr>
            </w:pPr>
            <w:r w:rsidRPr="006D5431">
              <w:rPr>
                <w:rFonts w:ascii="Verdana" w:hAnsi="Verdana"/>
                <w:bCs/>
                <w:sz w:val="24"/>
                <w:szCs w:val="24"/>
              </w:rPr>
              <w:t>(without appeal)</w:t>
            </w:r>
          </w:p>
        </w:tc>
      </w:tr>
      <w:tr w:rsidR="008A38E5" w:rsidRPr="006D5431" w:rsidTr="002F2435">
        <w:trPr>
          <w:tblCellSpacing w:w="7" w:type="dxa"/>
        </w:trPr>
        <w:tc>
          <w:tcPr>
            <w:tcW w:w="0" w:type="auto"/>
            <w:shd w:val="clear" w:color="auto" w:fill="E5E5E5"/>
            <w:vAlign w:val="center"/>
          </w:tcPr>
          <w:p w:rsidR="008A38E5" w:rsidRPr="006D5431" w:rsidRDefault="008A38E5" w:rsidP="002F2435">
            <w:pPr>
              <w:pStyle w:val="paranormaltext"/>
              <w:rPr>
                <w:rFonts w:ascii="Verdana" w:hAnsi="Verdana"/>
                <w:sz w:val="24"/>
                <w:szCs w:val="24"/>
              </w:rPr>
            </w:pPr>
            <w:r w:rsidRPr="006D5431">
              <w:rPr>
                <w:rFonts w:ascii="Verdana" w:hAnsi="Verdana"/>
                <w:sz w:val="24"/>
                <w:szCs w:val="24"/>
              </w:rPr>
              <w:t>60-90 days</w:t>
            </w:r>
          </w:p>
        </w:tc>
        <w:tc>
          <w:tcPr>
            <w:tcW w:w="0" w:type="auto"/>
            <w:shd w:val="clear" w:color="auto" w:fill="E5E5E5"/>
            <w:vAlign w:val="center"/>
          </w:tcPr>
          <w:p w:rsidR="008A38E5" w:rsidRPr="006D5431" w:rsidRDefault="008A38E5" w:rsidP="002F2435">
            <w:pPr>
              <w:pStyle w:val="paranormaltext"/>
              <w:rPr>
                <w:rFonts w:ascii="Verdana" w:hAnsi="Verdana"/>
                <w:sz w:val="24"/>
                <w:szCs w:val="24"/>
              </w:rPr>
            </w:pPr>
            <w:r w:rsidRPr="006D5431">
              <w:rPr>
                <w:rFonts w:ascii="Verdana" w:hAnsi="Verdana"/>
                <w:sz w:val="24"/>
                <w:szCs w:val="24"/>
              </w:rPr>
              <w:t>Appeals report</w:t>
            </w:r>
          </w:p>
        </w:tc>
      </w:tr>
      <w:tr w:rsidR="008A38E5" w:rsidRPr="006D5431" w:rsidTr="002F2435">
        <w:trPr>
          <w:tblCellSpacing w:w="7" w:type="dxa"/>
        </w:trPr>
        <w:tc>
          <w:tcPr>
            <w:tcW w:w="0" w:type="auto"/>
            <w:shd w:val="clear" w:color="auto" w:fill="E5E5E5"/>
            <w:vAlign w:val="center"/>
          </w:tcPr>
          <w:p w:rsidR="008A38E5" w:rsidRPr="006D5431" w:rsidRDefault="008A38E5" w:rsidP="002F2435">
            <w:pPr>
              <w:pStyle w:val="paranormaltext"/>
              <w:rPr>
                <w:rFonts w:ascii="Verdana" w:hAnsi="Verdana"/>
                <w:sz w:val="24"/>
                <w:szCs w:val="24"/>
              </w:rPr>
            </w:pPr>
            <w:r w:rsidRPr="006D5431">
              <w:rPr>
                <w:rFonts w:ascii="Verdana" w:hAnsi="Verdana"/>
                <w:sz w:val="24"/>
                <w:szCs w:val="24"/>
              </w:rPr>
              <w:t>30 days</w:t>
            </w:r>
          </w:p>
        </w:tc>
        <w:tc>
          <w:tcPr>
            <w:tcW w:w="0" w:type="auto"/>
            <w:shd w:val="clear" w:color="auto" w:fill="E5E5E5"/>
            <w:vAlign w:val="center"/>
          </w:tcPr>
          <w:p w:rsidR="008A38E5" w:rsidRPr="006D5431" w:rsidRDefault="008A38E5" w:rsidP="002F2435">
            <w:pPr>
              <w:pStyle w:val="paranormaltext"/>
              <w:rPr>
                <w:rFonts w:ascii="Verdana" w:hAnsi="Verdana"/>
                <w:sz w:val="24"/>
                <w:szCs w:val="24"/>
              </w:rPr>
            </w:pPr>
            <w:r w:rsidRPr="006D5431">
              <w:rPr>
                <w:rFonts w:ascii="Verdana" w:hAnsi="Verdana"/>
                <w:sz w:val="24"/>
                <w:szCs w:val="24"/>
              </w:rPr>
              <w:t>Dispute Settlement Body adopts appeals report</w:t>
            </w:r>
          </w:p>
        </w:tc>
      </w:tr>
      <w:tr w:rsidR="008A38E5" w:rsidRPr="006D5431" w:rsidTr="002F2435">
        <w:trPr>
          <w:tblCellSpacing w:w="7" w:type="dxa"/>
        </w:trPr>
        <w:tc>
          <w:tcPr>
            <w:tcW w:w="0" w:type="auto"/>
            <w:shd w:val="clear" w:color="auto" w:fill="E5E5E5"/>
            <w:vAlign w:val="center"/>
          </w:tcPr>
          <w:p w:rsidR="008A38E5" w:rsidRPr="006D5431" w:rsidRDefault="008A38E5" w:rsidP="002F2435">
            <w:pPr>
              <w:pStyle w:val="paranormaltext"/>
              <w:rPr>
                <w:rFonts w:ascii="Verdana" w:hAnsi="Verdana"/>
                <w:sz w:val="24"/>
                <w:szCs w:val="24"/>
              </w:rPr>
            </w:pPr>
            <w:r w:rsidRPr="006D5431">
              <w:rPr>
                <w:rFonts w:ascii="Verdana" w:hAnsi="Verdana"/>
                <w:bCs/>
                <w:sz w:val="24"/>
                <w:szCs w:val="24"/>
              </w:rPr>
              <w:t>Total = 1y 3m</w:t>
            </w:r>
          </w:p>
        </w:tc>
        <w:tc>
          <w:tcPr>
            <w:tcW w:w="0" w:type="auto"/>
            <w:shd w:val="clear" w:color="auto" w:fill="E5E5E5"/>
            <w:vAlign w:val="center"/>
          </w:tcPr>
          <w:p w:rsidR="008A38E5" w:rsidRPr="006D5431" w:rsidRDefault="008A38E5" w:rsidP="002F2435">
            <w:pPr>
              <w:pStyle w:val="paranormaltext"/>
              <w:rPr>
                <w:rFonts w:ascii="Verdana" w:hAnsi="Verdana"/>
                <w:sz w:val="24"/>
                <w:szCs w:val="24"/>
              </w:rPr>
            </w:pPr>
            <w:r w:rsidRPr="006D5431">
              <w:rPr>
                <w:rFonts w:ascii="Verdana" w:hAnsi="Verdana"/>
                <w:bCs/>
                <w:sz w:val="24"/>
                <w:szCs w:val="24"/>
              </w:rPr>
              <w:t>(with appeal)</w:t>
            </w:r>
          </w:p>
        </w:tc>
      </w:tr>
    </w:tbl>
    <w:p w:rsidR="008A38E5" w:rsidRDefault="008A38E5" w:rsidP="008A38E5">
      <w:pPr>
        <w:autoSpaceDE w:val="0"/>
        <w:autoSpaceDN w:val="0"/>
        <w:adjustRightInd w:val="0"/>
        <w:jc w:val="both"/>
        <w:rPr>
          <w:rFonts w:ascii="Verdana" w:hAnsi="Verdana"/>
          <w:bCs/>
          <w:sz w:val="24"/>
          <w:lang w:eastAsia="en-GB"/>
        </w:rPr>
      </w:pPr>
    </w:p>
    <w:p w:rsidR="008A38E5" w:rsidRDefault="008A38E5" w:rsidP="008A38E5">
      <w:pPr>
        <w:autoSpaceDE w:val="0"/>
        <w:autoSpaceDN w:val="0"/>
        <w:adjustRightInd w:val="0"/>
        <w:jc w:val="both"/>
        <w:rPr>
          <w:rFonts w:ascii="Verdana" w:hAnsi="Verdana"/>
          <w:bCs/>
          <w:sz w:val="24"/>
          <w:lang w:eastAsia="en-GB"/>
        </w:rPr>
      </w:pPr>
    </w:p>
    <w:p w:rsidR="008A38E5" w:rsidRPr="006D5431" w:rsidRDefault="008A38E5" w:rsidP="008A38E5">
      <w:pPr>
        <w:autoSpaceDE w:val="0"/>
        <w:autoSpaceDN w:val="0"/>
        <w:adjustRightInd w:val="0"/>
        <w:jc w:val="both"/>
        <w:rPr>
          <w:rFonts w:ascii="Verdana" w:hAnsi="Verdana"/>
          <w:b/>
          <w:bCs/>
          <w:sz w:val="24"/>
          <w:lang w:eastAsia="en-GB"/>
        </w:rPr>
      </w:pPr>
      <w:r w:rsidRPr="006D5431">
        <w:rPr>
          <w:rFonts w:ascii="Verdana" w:hAnsi="Verdana"/>
          <w:b/>
          <w:bCs/>
          <w:sz w:val="24"/>
          <w:lang w:eastAsia="en-GB"/>
        </w:rPr>
        <w:t>Consultation</w:t>
      </w:r>
    </w:p>
    <w:p w:rsidR="008A38E5" w:rsidRPr="006D5431" w:rsidRDefault="008A38E5" w:rsidP="008A38E5">
      <w:pPr>
        <w:autoSpaceDE w:val="0"/>
        <w:autoSpaceDN w:val="0"/>
        <w:adjustRightInd w:val="0"/>
        <w:ind w:left="1440"/>
        <w:jc w:val="both"/>
        <w:rPr>
          <w:rFonts w:ascii="Verdana" w:hAnsi="Verdana"/>
          <w:bCs/>
          <w:sz w:val="24"/>
          <w:lang w:eastAsia="en-GB"/>
        </w:rPr>
      </w:pPr>
    </w:p>
    <w:p w:rsidR="008A38E5" w:rsidRPr="006D5431" w:rsidRDefault="008A38E5" w:rsidP="008A38E5">
      <w:pPr>
        <w:autoSpaceDE w:val="0"/>
        <w:autoSpaceDN w:val="0"/>
        <w:adjustRightInd w:val="0"/>
        <w:jc w:val="both"/>
        <w:rPr>
          <w:rFonts w:ascii="Verdana" w:hAnsi="Verdana"/>
          <w:bCs/>
          <w:sz w:val="24"/>
          <w:lang w:eastAsia="en-GB"/>
        </w:rPr>
      </w:pPr>
      <w:proofErr w:type="gramStart"/>
      <w:r w:rsidRPr="006D5431">
        <w:rPr>
          <w:rFonts w:ascii="Verdana" w:hAnsi="Verdana"/>
          <w:bCs/>
          <w:sz w:val="24"/>
          <w:lang w:eastAsia="en-GB"/>
        </w:rPr>
        <w:t>If consultation fails to settle a dispute within 60 days (art. 4(7)), then the matter is referred to a Panel.</w:t>
      </w:r>
      <w:proofErr w:type="gramEnd"/>
    </w:p>
    <w:p w:rsidR="008A38E5" w:rsidRPr="006D5431" w:rsidRDefault="008A38E5" w:rsidP="008A38E5">
      <w:pPr>
        <w:autoSpaceDE w:val="0"/>
        <w:autoSpaceDN w:val="0"/>
        <w:adjustRightInd w:val="0"/>
        <w:ind w:left="1440"/>
        <w:jc w:val="both"/>
        <w:rPr>
          <w:rFonts w:ascii="Verdana" w:hAnsi="Verdana"/>
          <w:bCs/>
          <w:sz w:val="24"/>
          <w:lang w:eastAsia="en-GB"/>
        </w:rPr>
      </w:pPr>
    </w:p>
    <w:p w:rsidR="008A38E5" w:rsidRPr="006D5431" w:rsidRDefault="008A38E5" w:rsidP="008A38E5">
      <w:pPr>
        <w:rPr>
          <w:rFonts w:ascii="Verdana" w:hAnsi="Verdana"/>
          <w:sz w:val="24"/>
        </w:rPr>
      </w:pPr>
      <w:r w:rsidRPr="006D5431">
        <w:rPr>
          <w:rFonts w:ascii="Verdana" w:hAnsi="Verdana"/>
          <w:sz w:val="24"/>
        </w:rPr>
        <w:t>Before taking any other actions the countries in dispute have to talk to each other to see if they can settle their differences by themselves. If that fails, they can also ask the WTO director-general to mediate or try to help in any other way. Approximately 50 % of all disputes are settled at this stage.</w:t>
      </w:r>
    </w:p>
    <w:p w:rsidR="008A38E5" w:rsidRDefault="008A38E5" w:rsidP="008A38E5">
      <w:pPr>
        <w:autoSpaceDE w:val="0"/>
        <w:autoSpaceDN w:val="0"/>
        <w:adjustRightInd w:val="0"/>
        <w:ind w:left="1440"/>
        <w:jc w:val="both"/>
        <w:rPr>
          <w:rFonts w:ascii="Verdana" w:hAnsi="Verdana"/>
          <w:sz w:val="24"/>
          <w:lang w:eastAsia="en-GB"/>
        </w:rPr>
      </w:pPr>
    </w:p>
    <w:p w:rsidR="008A38E5" w:rsidRPr="006D5431" w:rsidRDefault="008A38E5" w:rsidP="008A38E5">
      <w:pPr>
        <w:autoSpaceDE w:val="0"/>
        <w:autoSpaceDN w:val="0"/>
        <w:adjustRightInd w:val="0"/>
        <w:ind w:left="1440"/>
        <w:jc w:val="both"/>
        <w:rPr>
          <w:rFonts w:ascii="Verdana" w:hAnsi="Verdana"/>
          <w:sz w:val="24"/>
          <w:lang w:eastAsia="en-GB"/>
        </w:rPr>
      </w:pPr>
    </w:p>
    <w:p w:rsidR="008A38E5" w:rsidRPr="006D5431" w:rsidRDefault="008A38E5" w:rsidP="008A38E5">
      <w:pPr>
        <w:autoSpaceDE w:val="0"/>
        <w:autoSpaceDN w:val="0"/>
        <w:adjustRightInd w:val="0"/>
        <w:jc w:val="both"/>
        <w:rPr>
          <w:rFonts w:ascii="Verdana" w:hAnsi="Verdana"/>
          <w:b/>
          <w:sz w:val="24"/>
          <w:lang w:eastAsia="en-GB"/>
        </w:rPr>
      </w:pPr>
      <w:r w:rsidRPr="006D5431">
        <w:rPr>
          <w:rFonts w:ascii="Verdana" w:hAnsi="Verdana"/>
          <w:b/>
          <w:sz w:val="24"/>
          <w:lang w:eastAsia="en-GB"/>
        </w:rPr>
        <w:t>Panel</w:t>
      </w:r>
    </w:p>
    <w:p w:rsidR="008A38E5" w:rsidRPr="006D5431" w:rsidRDefault="008A38E5" w:rsidP="008A38E5">
      <w:pPr>
        <w:autoSpaceDE w:val="0"/>
        <w:autoSpaceDN w:val="0"/>
        <w:adjustRightInd w:val="0"/>
        <w:ind w:left="1440"/>
        <w:jc w:val="both"/>
        <w:rPr>
          <w:rFonts w:ascii="Verdana" w:hAnsi="Verdana"/>
          <w:sz w:val="24"/>
          <w:lang w:eastAsia="en-GB"/>
        </w:rPr>
      </w:pPr>
    </w:p>
    <w:p w:rsidR="008A38E5" w:rsidRPr="006D5431" w:rsidRDefault="008A38E5" w:rsidP="008A38E5">
      <w:pPr>
        <w:autoSpaceDE w:val="0"/>
        <w:autoSpaceDN w:val="0"/>
        <w:adjustRightInd w:val="0"/>
        <w:jc w:val="both"/>
        <w:rPr>
          <w:rFonts w:ascii="Verdana" w:hAnsi="Verdana"/>
          <w:color w:val="000000"/>
          <w:sz w:val="24"/>
        </w:rPr>
      </w:pPr>
      <w:r w:rsidRPr="006D5431">
        <w:rPr>
          <w:rFonts w:ascii="Verdana" w:hAnsi="Verdana"/>
          <w:sz w:val="24"/>
          <w:lang w:eastAsia="en-GB"/>
        </w:rPr>
        <w:t xml:space="preserve">The complaining party may request that a panel be established by the Dispute Settlement Body (DSB) (art. 4(8)).The panel is </w:t>
      </w:r>
      <w:r w:rsidRPr="006D5431">
        <w:rPr>
          <w:rFonts w:ascii="Verdana" w:hAnsi="Verdana"/>
          <w:color w:val="000000"/>
          <w:sz w:val="24"/>
        </w:rPr>
        <w:t>composed of well-qualified governmental and/or non-governmental individuals, including persons who have served on or presented a case to a panel, served as a representative of a Member to GATT 1947 or any other WTO agreement, or in the Secretariat, or taught or published on international trade law or policy, or served as a senior trade policy official of a Member State.  This takes place within about 45 days.</w:t>
      </w:r>
    </w:p>
    <w:p w:rsidR="008A38E5" w:rsidRDefault="008A38E5" w:rsidP="008A38E5">
      <w:pPr>
        <w:autoSpaceDE w:val="0"/>
        <w:autoSpaceDN w:val="0"/>
        <w:adjustRightInd w:val="0"/>
        <w:jc w:val="both"/>
        <w:rPr>
          <w:rFonts w:ascii="Verdana" w:hAnsi="Verdana"/>
          <w:color w:val="000000"/>
          <w:sz w:val="24"/>
        </w:rPr>
      </w:pPr>
    </w:p>
    <w:p w:rsidR="008A38E5" w:rsidRPr="006D5431" w:rsidRDefault="008A38E5" w:rsidP="008A38E5">
      <w:pPr>
        <w:autoSpaceDE w:val="0"/>
        <w:autoSpaceDN w:val="0"/>
        <w:adjustRightInd w:val="0"/>
        <w:jc w:val="both"/>
        <w:rPr>
          <w:rFonts w:ascii="Verdana" w:hAnsi="Verdana"/>
          <w:sz w:val="24"/>
          <w:lang w:eastAsia="en-GB"/>
        </w:rPr>
      </w:pPr>
      <w:r w:rsidRPr="006D5431">
        <w:rPr>
          <w:rFonts w:ascii="Verdana" w:hAnsi="Verdana"/>
          <w:color w:val="000000"/>
          <w:sz w:val="24"/>
        </w:rPr>
        <w:t>P</w:t>
      </w:r>
      <w:r w:rsidRPr="006D5431">
        <w:rPr>
          <w:rFonts w:ascii="Verdana" w:hAnsi="Verdana"/>
          <w:sz w:val="24"/>
          <w:lang w:eastAsia="en-GB"/>
        </w:rPr>
        <w:t>anels aim to report to the parties within about 6 months (3 months if urgent) (art. 12(8), Appendix 3)</w:t>
      </w:r>
    </w:p>
    <w:p w:rsidR="008A38E5" w:rsidRDefault="008A38E5" w:rsidP="008A38E5">
      <w:pPr>
        <w:autoSpaceDE w:val="0"/>
        <w:autoSpaceDN w:val="0"/>
        <w:adjustRightInd w:val="0"/>
        <w:jc w:val="both"/>
        <w:rPr>
          <w:rFonts w:ascii="Verdana" w:hAnsi="Verdana"/>
          <w:sz w:val="24"/>
          <w:lang w:eastAsia="en-GB"/>
        </w:rPr>
      </w:pPr>
    </w:p>
    <w:p w:rsidR="008A38E5" w:rsidRPr="006D5431" w:rsidRDefault="008A38E5" w:rsidP="008A38E5">
      <w:pPr>
        <w:autoSpaceDE w:val="0"/>
        <w:autoSpaceDN w:val="0"/>
        <w:adjustRightInd w:val="0"/>
        <w:jc w:val="both"/>
        <w:rPr>
          <w:rFonts w:ascii="Verdana" w:hAnsi="Verdana"/>
          <w:sz w:val="24"/>
          <w:lang w:eastAsia="en-GB"/>
        </w:rPr>
      </w:pPr>
      <w:r w:rsidRPr="006D5431">
        <w:rPr>
          <w:rFonts w:ascii="Verdana" w:hAnsi="Verdana"/>
          <w:sz w:val="24"/>
          <w:lang w:eastAsia="en-GB"/>
        </w:rPr>
        <w:lastRenderedPageBreak/>
        <w:t>If the parties have failed to “develop a mutually satisfactory solution”, the panel submits its report to the DSB (maximum period allowed is 9 months) – it is the DSB which makes rulings or recommendation. Within 60 days the report must be adopted at a DSB meeting unless the DSB decides by consensus not to adopt the report (art. 16(4)) – thus it is difficult to overturn the panel’s report.</w:t>
      </w:r>
    </w:p>
    <w:p w:rsidR="008A38E5" w:rsidRDefault="008A38E5" w:rsidP="008A38E5">
      <w:pPr>
        <w:rPr>
          <w:rFonts w:ascii="Verdana" w:hAnsi="Verdana"/>
          <w:sz w:val="24"/>
        </w:rPr>
      </w:pPr>
    </w:p>
    <w:p w:rsidR="008A38E5" w:rsidRPr="006D5431" w:rsidRDefault="008A38E5" w:rsidP="008A38E5">
      <w:pPr>
        <w:rPr>
          <w:rFonts w:ascii="Verdana" w:hAnsi="Verdana"/>
          <w:sz w:val="24"/>
        </w:rPr>
      </w:pPr>
      <w:r w:rsidRPr="006D5431">
        <w:rPr>
          <w:rFonts w:ascii="Verdana" w:hAnsi="Verdana"/>
          <w:sz w:val="24"/>
        </w:rPr>
        <w:t>The country "in the dock" can block the creation of a panel once, but when the Dispute Settlement Body meets for a second time, the appointment can no longer be blocked (unless there is a consensus against appointing the panel).</w:t>
      </w:r>
    </w:p>
    <w:p w:rsidR="008A38E5" w:rsidRDefault="008A38E5" w:rsidP="008A38E5">
      <w:pPr>
        <w:rPr>
          <w:rFonts w:ascii="Verdana" w:hAnsi="Verdana"/>
          <w:sz w:val="24"/>
        </w:rPr>
      </w:pPr>
    </w:p>
    <w:p w:rsidR="008A38E5" w:rsidRPr="006D5431" w:rsidRDefault="008A38E5" w:rsidP="008A38E5">
      <w:pPr>
        <w:rPr>
          <w:rFonts w:ascii="Verdana" w:hAnsi="Verdana"/>
          <w:sz w:val="24"/>
        </w:rPr>
      </w:pPr>
      <w:r w:rsidRPr="006D5431">
        <w:rPr>
          <w:rFonts w:ascii="Verdana" w:hAnsi="Verdana"/>
          <w:sz w:val="24"/>
        </w:rPr>
        <w:t>Officially, the panel is helping the Dispute Settlement Body make rulings or recommendations.  However, because the panel's report can only be rejected by consensus in the Dispute Settlement Body, its conclusions are difficult to overturn. The panel's findings have to be based on the agreements cited.</w:t>
      </w:r>
    </w:p>
    <w:p w:rsidR="008A38E5" w:rsidRDefault="008A38E5" w:rsidP="008A38E5">
      <w:pPr>
        <w:rPr>
          <w:rFonts w:ascii="Verdana" w:hAnsi="Verdana"/>
          <w:sz w:val="24"/>
        </w:rPr>
      </w:pPr>
    </w:p>
    <w:p w:rsidR="008A38E5" w:rsidRPr="006D5431" w:rsidRDefault="008A38E5" w:rsidP="008A38E5">
      <w:pPr>
        <w:rPr>
          <w:rFonts w:ascii="Verdana" w:hAnsi="Verdana"/>
          <w:sz w:val="24"/>
        </w:rPr>
      </w:pPr>
      <w:r w:rsidRPr="006D5431">
        <w:rPr>
          <w:rFonts w:ascii="Verdana" w:hAnsi="Verdana"/>
          <w:sz w:val="24"/>
        </w:rPr>
        <w:t xml:space="preserve">The panel's final report should normally be given to the parties to the dispute within six months. In cases of urgency, including those concerning perishable goods, the deadline is shortened to three months. </w:t>
      </w:r>
    </w:p>
    <w:p w:rsidR="008A38E5" w:rsidRPr="006D5431" w:rsidRDefault="008A38E5" w:rsidP="008A38E5">
      <w:pPr>
        <w:rPr>
          <w:rFonts w:ascii="Verdana" w:hAnsi="Verdana"/>
          <w:sz w:val="24"/>
        </w:rPr>
      </w:pPr>
      <w:r w:rsidRPr="006D5431">
        <w:rPr>
          <w:rFonts w:ascii="Verdana" w:hAnsi="Verdana"/>
          <w:sz w:val="24"/>
        </w:rPr>
        <w:t xml:space="preserve">The agreement describes in some detail how the panels are to work. </w:t>
      </w:r>
      <w:r w:rsidRPr="00EE20AD">
        <w:rPr>
          <w:rFonts w:ascii="Verdana" w:hAnsi="Verdana"/>
          <w:sz w:val="24"/>
          <w:u w:val="single"/>
        </w:rPr>
        <w:t>The main stages are:</w:t>
      </w:r>
    </w:p>
    <w:p w:rsidR="008A38E5" w:rsidRPr="006D5431" w:rsidRDefault="008A38E5" w:rsidP="008A38E5">
      <w:pPr>
        <w:ind w:left="1440"/>
        <w:rPr>
          <w:rFonts w:ascii="Verdana" w:hAnsi="Verdana"/>
          <w:sz w:val="24"/>
        </w:rPr>
      </w:pPr>
    </w:p>
    <w:p w:rsidR="008A38E5" w:rsidRPr="006D5431" w:rsidRDefault="008A38E5" w:rsidP="008A38E5">
      <w:pPr>
        <w:numPr>
          <w:ilvl w:val="0"/>
          <w:numId w:val="8"/>
        </w:numPr>
        <w:jc w:val="both"/>
        <w:rPr>
          <w:rFonts w:ascii="Verdana" w:hAnsi="Verdana"/>
          <w:sz w:val="24"/>
        </w:rPr>
      </w:pPr>
      <w:r w:rsidRPr="006D5431">
        <w:rPr>
          <w:rFonts w:ascii="Verdana" w:hAnsi="Verdana"/>
          <w:sz w:val="24"/>
        </w:rPr>
        <w:t>Before the first hearing: each side in the dispute presents its case in writing to the panel.</w:t>
      </w:r>
    </w:p>
    <w:p w:rsidR="008A38E5" w:rsidRPr="006D5431" w:rsidRDefault="008A38E5" w:rsidP="008A38E5">
      <w:pPr>
        <w:ind w:left="1440"/>
        <w:jc w:val="both"/>
        <w:rPr>
          <w:rFonts w:ascii="Verdana" w:hAnsi="Verdana"/>
          <w:sz w:val="24"/>
        </w:rPr>
      </w:pPr>
    </w:p>
    <w:p w:rsidR="008A38E5" w:rsidRPr="006D5431" w:rsidRDefault="008A38E5" w:rsidP="008A38E5">
      <w:pPr>
        <w:numPr>
          <w:ilvl w:val="0"/>
          <w:numId w:val="8"/>
        </w:numPr>
        <w:jc w:val="both"/>
        <w:rPr>
          <w:rFonts w:ascii="Verdana" w:hAnsi="Verdana"/>
          <w:sz w:val="24"/>
        </w:rPr>
      </w:pPr>
      <w:r w:rsidRPr="006D5431">
        <w:rPr>
          <w:rFonts w:ascii="Verdana" w:hAnsi="Verdana"/>
          <w:sz w:val="24"/>
        </w:rPr>
        <w:t>First hearing: the case for the complaining country and the defence: the complaining country (or countries), the responding country, and those that have announced they have an interest in the dispute, make their case at the panel's first hearing.</w:t>
      </w:r>
    </w:p>
    <w:p w:rsidR="008A38E5" w:rsidRPr="006D5431" w:rsidRDefault="008A38E5" w:rsidP="008A38E5">
      <w:pPr>
        <w:ind w:left="1440"/>
        <w:jc w:val="both"/>
        <w:rPr>
          <w:rFonts w:ascii="Verdana" w:hAnsi="Verdana"/>
          <w:sz w:val="24"/>
        </w:rPr>
      </w:pPr>
    </w:p>
    <w:p w:rsidR="008A38E5" w:rsidRPr="006D5431" w:rsidRDefault="008A38E5" w:rsidP="008A38E5">
      <w:pPr>
        <w:numPr>
          <w:ilvl w:val="0"/>
          <w:numId w:val="8"/>
        </w:numPr>
        <w:jc w:val="both"/>
        <w:rPr>
          <w:rFonts w:ascii="Verdana" w:hAnsi="Verdana"/>
          <w:sz w:val="24"/>
        </w:rPr>
      </w:pPr>
      <w:r w:rsidRPr="006D5431">
        <w:rPr>
          <w:rFonts w:ascii="Verdana" w:hAnsi="Verdana"/>
          <w:sz w:val="24"/>
        </w:rPr>
        <w:t>Rebuttals: the countries involved submit written rebuttals of their opponent/s’ arguments and present oral arguments at the panel's second meeting.</w:t>
      </w:r>
    </w:p>
    <w:p w:rsidR="008A38E5" w:rsidRPr="006D5431" w:rsidRDefault="008A38E5" w:rsidP="008A38E5">
      <w:pPr>
        <w:ind w:left="1440"/>
        <w:jc w:val="both"/>
        <w:rPr>
          <w:rFonts w:ascii="Verdana" w:hAnsi="Verdana"/>
          <w:sz w:val="24"/>
        </w:rPr>
      </w:pPr>
    </w:p>
    <w:p w:rsidR="008A38E5" w:rsidRPr="006D5431" w:rsidRDefault="008A38E5" w:rsidP="008A38E5">
      <w:pPr>
        <w:numPr>
          <w:ilvl w:val="0"/>
          <w:numId w:val="8"/>
        </w:numPr>
        <w:jc w:val="both"/>
        <w:rPr>
          <w:rFonts w:ascii="Verdana" w:hAnsi="Verdana"/>
          <w:sz w:val="24"/>
        </w:rPr>
      </w:pPr>
      <w:r w:rsidRPr="006D5431">
        <w:rPr>
          <w:rFonts w:ascii="Verdana" w:hAnsi="Verdana"/>
          <w:sz w:val="24"/>
        </w:rPr>
        <w:t xml:space="preserve">Experts: if one side raises scientific or other technical matters, the panel may consult experts or appoint an expert review group to prepare an advisory report. </w:t>
      </w:r>
    </w:p>
    <w:p w:rsidR="008A38E5" w:rsidRPr="006D5431" w:rsidRDefault="008A38E5" w:rsidP="008A38E5">
      <w:pPr>
        <w:ind w:left="1440"/>
        <w:jc w:val="both"/>
        <w:rPr>
          <w:rFonts w:ascii="Verdana" w:hAnsi="Verdana"/>
          <w:sz w:val="24"/>
        </w:rPr>
      </w:pPr>
    </w:p>
    <w:p w:rsidR="008A38E5" w:rsidRPr="006D5431" w:rsidRDefault="008A38E5" w:rsidP="008A38E5">
      <w:pPr>
        <w:numPr>
          <w:ilvl w:val="0"/>
          <w:numId w:val="8"/>
        </w:numPr>
        <w:jc w:val="both"/>
        <w:rPr>
          <w:rFonts w:ascii="Verdana" w:hAnsi="Verdana"/>
          <w:sz w:val="24"/>
        </w:rPr>
      </w:pPr>
      <w:r w:rsidRPr="006D5431">
        <w:rPr>
          <w:rFonts w:ascii="Verdana" w:hAnsi="Verdana"/>
          <w:sz w:val="24"/>
        </w:rPr>
        <w:t>First draft: the panel submits the descriptive (factual and argument) sections of its report to the two sides, giving them two weeks to comment. This report does not include findings and conclusions.</w:t>
      </w:r>
    </w:p>
    <w:p w:rsidR="008A38E5" w:rsidRPr="006D5431" w:rsidRDefault="008A38E5" w:rsidP="008A38E5">
      <w:pPr>
        <w:ind w:left="1440"/>
        <w:jc w:val="both"/>
        <w:rPr>
          <w:rFonts w:ascii="Verdana" w:hAnsi="Verdana"/>
          <w:sz w:val="24"/>
        </w:rPr>
      </w:pPr>
    </w:p>
    <w:p w:rsidR="008A38E5" w:rsidRPr="006D5431" w:rsidRDefault="008A38E5" w:rsidP="008A38E5">
      <w:pPr>
        <w:numPr>
          <w:ilvl w:val="0"/>
          <w:numId w:val="8"/>
        </w:numPr>
        <w:jc w:val="both"/>
        <w:rPr>
          <w:rFonts w:ascii="Verdana" w:hAnsi="Verdana"/>
          <w:sz w:val="24"/>
        </w:rPr>
      </w:pPr>
      <w:r w:rsidRPr="006D5431">
        <w:rPr>
          <w:rFonts w:ascii="Verdana" w:hAnsi="Verdana"/>
          <w:sz w:val="24"/>
        </w:rPr>
        <w:t>Interim report: The panel then submits an interim report, including its findings and conclusions, to the two sides, giving them one week to ask for a review.</w:t>
      </w:r>
    </w:p>
    <w:p w:rsidR="008A38E5" w:rsidRPr="006D5431" w:rsidRDefault="008A38E5" w:rsidP="008A38E5">
      <w:pPr>
        <w:ind w:left="1440"/>
        <w:jc w:val="both"/>
        <w:rPr>
          <w:rFonts w:ascii="Verdana" w:hAnsi="Verdana"/>
          <w:sz w:val="24"/>
        </w:rPr>
      </w:pPr>
    </w:p>
    <w:p w:rsidR="008A38E5" w:rsidRPr="006D5431" w:rsidRDefault="008A38E5" w:rsidP="008A38E5">
      <w:pPr>
        <w:numPr>
          <w:ilvl w:val="0"/>
          <w:numId w:val="8"/>
        </w:numPr>
        <w:jc w:val="both"/>
        <w:rPr>
          <w:rFonts w:ascii="Verdana" w:hAnsi="Verdana"/>
          <w:sz w:val="24"/>
        </w:rPr>
      </w:pPr>
      <w:r w:rsidRPr="006D5431">
        <w:rPr>
          <w:rFonts w:ascii="Verdana" w:hAnsi="Verdana"/>
          <w:sz w:val="24"/>
        </w:rPr>
        <w:t>Review: The period of review must not exceed two weeks. During that time, the panel may hold additional meetings with the two sides.</w:t>
      </w:r>
    </w:p>
    <w:p w:rsidR="008A38E5" w:rsidRPr="006D5431" w:rsidRDefault="008A38E5" w:rsidP="008A38E5">
      <w:pPr>
        <w:ind w:left="1440"/>
        <w:jc w:val="both"/>
        <w:rPr>
          <w:rFonts w:ascii="Verdana" w:hAnsi="Verdana"/>
          <w:sz w:val="24"/>
        </w:rPr>
      </w:pPr>
    </w:p>
    <w:p w:rsidR="008A38E5" w:rsidRPr="006D5431" w:rsidRDefault="008A38E5" w:rsidP="008A38E5">
      <w:pPr>
        <w:numPr>
          <w:ilvl w:val="0"/>
          <w:numId w:val="8"/>
        </w:numPr>
        <w:jc w:val="both"/>
        <w:rPr>
          <w:rFonts w:ascii="Verdana" w:hAnsi="Verdana"/>
          <w:sz w:val="24"/>
        </w:rPr>
      </w:pPr>
      <w:r w:rsidRPr="006D5431">
        <w:rPr>
          <w:rFonts w:ascii="Verdana" w:hAnsi="Verdana"/>
          <w:sz w:val="24"/>
        </w:rPr>
        <w:t xml:space="preserve">Final report: A final report is submitted to the two sides and three weeks later, it is circulated to all WTO members. If the panel decides that the disputed trade measure does break a WTO agreement or an obligation, it recommends that the measure be made to conform </w:t>
      </w:r>
      <w:proofErr w:type="gramStart"/>
      <w:r w:rsidRPr="006D5431">
        <w:rPr>
          <w:rFonts w:ascii="Verdana" w:hAnsi="Verdana"/>
          <w:sz w:val="24"/>
        </w:rPr>
        <w:t>with</w:t>
      </w:r>
      <w:proofErr w:type="gramEnd"/>
      <w:r w:rsidRPr="006D5431">
        <w:rPr>
          <w:rFonts w:ascii="Verdana" w:hAnsi="Verdana"/>
          <w:sz w:val="24"/>
        </w:rPr>
        <w:t xml:space="preserve"> WTO rules. The panel may suggest how this could be done.</w:t>
      </w:r>
    </w:p>
    <w:p w:rsidR="008A38E5" w:rsidRPr="006D5431" w:rsidRDefault="008A38E5" w:rsidP="008A38E5">
      <w:pPr>
        <w:ind w:left="1440"/>
        <w:jc w:val="both"/>
        <w:rPr>
          <w:rFonts w:ascii="Verdana" w:hAnsi="Verdana"/>
          <w:sz w:val="24"/>
        </w:rPr>
      </w:pPr>
    </w:p>
    <w:p w:rsidR="008A38E5" w:rsidRPr="006D5431" w:rsidRDefault="008A38E5" w:rsidP="008A38E5">
      <w:pPr>
        <w:numPr>
          <w:ilvl w:val="0"/>
          <w:numId w:val="8"/>
        </w:numPr>
        <w:jc w:val="both"/>
        <w:rPr>
          <w:rFonts w:ascii="Verdana" w:hAnsi="Verdana"/>
          <w:sz w:val="24"/>
          <w:lang w:eastAsia="en-GB"/>
        </w:rPr>
      </w:pPr>
      <w:r w:rsidRPr="006D5431">
        <w:rPr>
          <w:rFonts w:ascii="Verdana" w:hAnsi="Verdana"/>
          <w:sz w:val="24"/>
        </w:rPr>
        <w:t>The report becomes a ruling: The report becomes the Dispute Settlement Body's ruling or recommendation within 60 days unless a consensus rejects it. Both sides can appeal the report (and in some cases both sides do).</w:t>
      </w:r>
    </w:p>
    <w:p w:rsidR="008A38E5" w:rsidRDefault="008A38E5" w:rsidP="008A38E5">
      <w:pPr>
        <w:pStyle w:val="Heading6"/>
        <w:spacing w:line="240" w:lineRule="auto"/>
        <w:ind w:left="720"/>
        <w:rPr>
          <w:rFonts w:ascii="Verdana" w:hAnsi="Verdana"/>
          <w:caps/>
          <w:sz w:val="24"/>
          <w:u w:val="none"/>
        </w:rPr>
      </w:pPr>
    </w:p>
    <w:p w:rsidR="008A38E5" w:rsidRDefault="008A38E5" w:rsidP="008A38E5"/>
    <w:p w:rsidR="008A38E5" w:rsidRDefault="008A38E5" w:rsidP="008A38E5"/>
    <w:p w:rsidR="008A38E5" w:rsidRPr="00EE20AD" w:rsidRDefault="008A38E5" w:rsidP="008A38E5"/>
    <w:p w:rsidR="008A38E5" w:rsidRPr="006D5431" w:rsidRDefault="008A38E5" w:rsidP="008A38E5">
      <w:pPr>
        <w:pStyle w:val="Heading6"/>
        <w:spacing w:line="240" w:lineRule="auto"/>
        <w:rPr>
          <w:rFonts w:ascii="Verdana" w:hAnsi="Verdana"/>
          <w:caps/>
          <w:sz w:val="24"/>
          <w:u w:val="none"/>
        </w:rPr>
      </w:pPr>
      <w:r w:rsidRPr="006D5431">
        <w:rPr>
          <w:rFonts w:ascii="Verdana" w:hAnsi="Verdana"/>
          <w:caps/>
          <w:sz w:val="24"/>
          <w:u w:val="none"/>
        </w:rPr>
        <w:t>Appeals</w:t>
      </w:r>
    </w:p>
    <w:p w:rsidR="008A38E5" w:rsidRPr="006D5431" w:rsidRDefault="008A38E5" w:rsidP="008A38E5">
      <w:pPr>
        <w:ind w:left="1440"/>
        <w:rPr>
          <w:rFonts w:ascii="Verdana" w:hAnsi="Verdana"/>
          <w:sz w:val="24"/>
        </w:rPr>
      </w:pPr>
    </w:p>
    <w:p w:rsidR="008A38E5" w:rsidRPr="006D5431" w:rsidRDefault="008A38E5" w:rsidP="008A38E5">
      <w:pPr>
        <w:rPr>
          <w:rFonts w:ascii="Verdana" w:hAnsi="Verdana"/>
          <w:sz w:val="24"/>
        </w:rPr>
      </w:pPr>
      <w:r w:rsidRPr="006D5431">
        <w:rPr>
          <w:rFonts w:ascii="Verdana" w:hAnsi="Verdana"/>
          <w:sz w:val="24"/>
        </w:rPr>
        <w:t>Either side can appeal a panel's ruling. Sometimes both sides appeal. Appeals have to be based on points of law such as legal interpretation — they cannot re-examine existing evidence or examine new evidence.</w:t>
      </w:r>
    </w:p>
    <w:p w:rsidR="008A38E5" w:rsidRPr="006D5431" w:rsidRDefault="008A38E5" w:rsidP="008A38E5">
      <w:pPr>
        <w:ind w:left="1440"/>
        <w:rPr>
          <w:rFonts w:ascii="Verdana" w:hAnsi="Verdana"/>
          <w:sz w:val="24"/>
        </w:rPr>
      </w:pPr>
    </w:p>
    <w:p w:rsidR="008A38E5" w:rsidRPr="006D5431" w:rsidRDefault="008A38E5" w:rsidP="008A38E5">
      <w:pPr>
        <w:rPr>
          <w:rFonts w:ascii="Verdana" w:hAnsi="Verdana"/>
          <w:sz w:val="24"/>
        </w:rPr>
      </w:pPr>
      <w:r w:rsidRPr="006D5431">
        <w:rPr>
          <w:rFonts w:ascii="Verdana" w:hAnsi="Verdana"/>
          <w:sz w:val="24"/>
        </w:rPr>
        <w:t xml:space="preserve">Each appeal is heard by three members of a permanent seven-member Appellate Body </w:t>
      </w:r>
      <w:proofErr w:type="gramStart"/>
      <w:r w:rsidRPr="006D5431">
        <w:rPr>
          <w:rFonts w:ascii="Verdana" w:hAnsi="Verdana"/>
          <w:sz w:val="24"/>
        </w:rPr>
        <w:t>( AB</w:t>
      </w:r>
      <w:proofErr w:type="gramEnd"/>
      <w:r w:rsidRPr="006D5431">
        <w:rPr>
          <w:rFonts w:ascii="Verdana" w:hAnsi="Verdana"/>
          <w:sz w:val="24"/>
        </w:rPr>
        <w:t>) set up by the Dispute Settlement Body and broadly representing the range of WTO membership. Members of the Appellate Body have four-year terms. They have to be individuals with recognized standing in the field of law and international trade, not affiliated with any government.</w:t>
      </w:r>
    </w:p>
    <w:p w:rsidR="008A38E5" w:rsidRPr="006D5431" w:rsidRDefault="008A38E5" w:rsidP="008A38E5">
      <w:pPr>
        <w:ind w:left="1440"/>
        <w:rPr>
          <w:rFonts w:ascii="Verdana" w:hAnsi="Verdana"/>
          <w:sz w:val="24"/>
        </w:rPr>
      </w:pPr>
    </w:p>
    <w:p w:rsidR="008A38E5" w:rsidRPr="006D5431" w:rsidRDefault="008A38E5" w:rsidP="008A38E5">
      <w:pPr>
        <w:rPr>
          <w:rFonts w:ascii="Verdana" w:hAnsi="Verdana"/>
          <w:sz w:val="24"/>
        </w:rPr>
      </w:pPr>
      <w:r w:rsidRPr="006D5431">
        <w:rPr>
          <w:rFonts w:ascii="Verdana" w:hAnsi="Verdana"/>
          <w:sz w:val="24"/>
        </w:rPr>
        <w:t>The AB can uphold, modify or reverse the panel's legal findings and conclusions. Normally appeals should not last more than 60 days, with an absolute maximum of 90 days.</w:t>
      </w:r>
    </w:p>
    <w:p w:rsidR="008A38E5" w:rsidRPr="006D5431" w:rsidRDefault="008A38E5" w:rsidP="008A38E5">
      <w:pPr>
        <w:ind w:left="1440"/>
        <w:rPr>
          <w:rFonts w:ascii="Verdana" w:hAnsi="Verdana"/>
          <w:sz w:val="24"/>
        </w:rPr>
      </w:pPr>
    </w:p>
    <w:p w:rsidR="008A38E5" w:rsidRPr="006D5431" w:rsidRDefault="008A38E5" w:rsidP="008A38E5">
      <w:pPr>
        <w:rPr>
          <w:rFonts w:ascii="Verdana" w:hAnsi="Verdana"/>
          <w:sz w:val="24"/>
        </w:rPr>
      </w:pPr>
      <w:r w:rsidRPr="006D5431">
        <w:rPr>
          <w:rFonts w:ascii="Verdana" w:hAnsi="Verdana"/>
          <w:sz w:val="24"/>
        </w:rPr>
        <w:t>The Dispute Settlement Body has to accept or reject the AB’s report within 30 days — and rejection is only possible by consensus.</w:t>
      </w:r>
    </w:p>
    <w:p w:rsidR="008A38E5" w:rsidRPr="006D5431" w:rsidRDefault="008A38E5" w:rsidP="008A38E5">
      <w:pPr>
        <w:ind w:left="1440"/>
        <w:rPr>
          <w:rFonts w:ascii="Verdana" w:hAnsi="Verdana"/>
          <w:sz w:val="24"/>
        </w:rPr>
      </w:pPr>
    </w:p>
    <w:p w:rsidR="008A38E5" w:rsidRPr="006D5431" w:rsidRDefault="008A38E5" w:rsidP="008A38E5">
      <w:pPr>
        <w:autoSpaceDE w:val="0"/>
        <w:autoSpaceDN w:val="0"/>
        <w:adjustRightInd w:val="0"/>
        <w:jc w:val="both"/>
        <w:rPr>
          <w:rFonts w:ascii="Verdana" w:hAnsi="Verdana"/>
          <w:sz w:val="24"/>
        </w:rPr>
      </w:pPr>
      <w:r w:rsidRPr="006D5431">
        <w:rPr>
          <w:rFonts w:ascii="Verdana" w:hAnsi="Verdana"/>
          <w:sz w:val="24"/>
          <w:lang w:eastAsia="en-GB"/>
        </w:rPr>
        <w:t xml:space="preserve">The </w:t>
      </w:r>
      <w:r w:rsidRPr="006D5431">
        <w:rPr>
          <w:rFonts w:ascii="Verdana" w:hAnsi="Verdana"/>
          <w:color w:val="000000"/>
          <w:sz w:val="24"/>
        </w:rPr>
        <w:t>Appellate Body report is adopted by the DSB and unconditionally accepted by the parties to the dispute unless the DSB decides by consensus not to adopt the Appellate Body report within 30 days following its circulation to the Members” (art. 17(14))</w:t>
      </w:r>
    </w:p>
    <w:p w:rsidR="008A38E5" w:rsidRPr="006D5431" w:rsidRDefault="008A38E5" w:rsidP="008A38E5">
      <w:pPr>
        <w:ind w:left="1440"/>
        <w:jc w:val="both"/>
        <w:rPr>
          <w:rFonts w:ascii="Verdana" w:hAnsi="Verdana"/>
          <w:sz w:val="24"/>
        </w:rPr>
      </w:pPr>
    </w:p>
    <w:p w:rsidR="008A38E5" w:rsidRDefault="008A38E5" w:rsidP="008A38E5">
      <w:pPr>
        <w:autoSpaceDE w:val="0"/>
        <w:autoSpaceDN w:val="0"/>
        <w:adjustRightInd w:val="0"/>
        <w:jc w:val="both"/>
        <w:rPr>
          <w:rFonts w:ascii="Verdana" w:hAnsi="Verdana"/>
          <w:b/>
          <w:color w:val="000000"/>
          <w:sz w:val="24"/>
        </w:rPr>
      </w:pPr>
    </w:p>
    <w:p w:rsidR="008A38E5" w:rsidRDefault="008A38E5" w:rsidP="008A38E5">
      <w:pPr>
        <w:autoSpaceDE w:val="0"/>
        <w:autoSpaceDN w:val="0"/>
        <w:adjustRightInd w:val="0"/>
        <w:jc w:val="both"/>
        <w:rPr>
          <w:rFonts w:ascii="Verdana" w:hAnsi="Verdana"/>
          <w:b/>
          <w:color w:val="000000"/>
          <w:sz w:val="24"/>
        </w:rPr>
      </w:pPr>
    </w:p>
    <w:p w:rsidR="008A38E5" w:rsidRDefault="008A38E5" w:rsidP="008A38E5">
      <w:pPr>
        <w:autoSpaceDE w:val="0"/>
        <w:autoSpaceDN w:val="0"/>
        <w:adjustRightInd w:val="0"/>
        <w:jc w:val="both"/>
        <w:rPr>
          <w:rFonts w:ascii="Verdana" w:hAnsi="Verdana"/>
          <w:b/>
          <w:color w:val="000000"/>
          <w:sz w:val="24"/>
        </w:rPr>
      </w:pPr>
    </w:p>
    <w:p w:rsidR="008A38E5" w:rsidRPr="006D5431" w:rsidRDefault="008A38E5" w:rsidP="008A38E5">
      <w:pPr>
        <w:autoSpaceDE w:val="0"/>
        <w:autoSpaceDN w:val="0"/>
        <w:adjustRightInd w:val="0"/>
        <w:jc w:val="both"/>
        <w:rPr>
          <w:rFonts w:ascii="Verdana" w:hAnsi="Verdana"/>
          <w:b/>
          <w:color w:val="000000"/>
          <w:sz w:val="24"/>
        </w:rPr>
      </w:pPr>
      <w:r w:rsidRPr="006D5431">
        <w:rPr>
          <w:rFonts w:ascii="Verdana" w:hAnsi="Verdana"/>
          <w:b/>
          <w:color w:val="000000"/>
          <w:sz w:val="24"/>
        </w:rPr>
        <w:lastRenderedPageBreak/>
        <w:t>Enforcement</w:t>
      </w:r>
    </w:p>
    <w:p w:rsidR="008A38E5" w:rsidRDefault="008A38E5" w:rsidP="008A38E5">
      <w:pPr>
        <w:autoSpaceDE w:val="0"/>
        <w:autoSpaceDN w:val="0"/>
        <w:adjustRightInd w:val="0"/>
        <w:jc w:val="both"/>
        <w:rPr>
          <w:rFonts w:ascii="Verdana" w:hAnsi="Verdana"/>
          <w:color w:val="000000"/>
          <w:sz w:val="24"/>
        </w:rPr>
      </w:pPr>
    </w:p>
    <w:p w:rsidR="008A38E5" w:rsidRPr="006D5431" w:rsidRDefault="008A38E5" w:rsidP="008A38E5">
      <w:pPr>
        <w:autoSpaceDE w:val="0"/>
        <w:autoSpaceDN w:val="0"/>
        <w:adjustRightInd w:val="0"/>
        <w:jc w:val="both"/>
        <w:rPr>
          <w:rFonts w:ascii="Verdana" w:hAnsi="Verdana"/>
          <w:sz w:val="24"/>
          <w:lang w:eastAsia="en-GB"/>
        </w:rPr>
      </w:pPr>
      <w:r w:rsidRPr="006D5431">
        <w:rPr>
          <w:rFonts w:ascii="Verdana" w:hAnsi="Verdana"/>
          <w:color w:val="000000"/>
          <w:sz w:val="24"/>
        </w:rPr>
        <w:t>The losing party has 30 days to tell a meeting of the DSB how it intends to implement the recommendations or rulings of the DSB within a “reasonable period of time”, which should not exceed 15 months (art. 21(3))</w:t>
      </w:r>
    </w:p>
    <w:p w:rsidR="008A38E5" w:rsidRPr="006D5431" w:rsidRDefault="008A38E5" w:rsidP="008A38E5">
      <w:pPr>
        <w:numPr>
          <w:ilvl w:val="1"/>
          <w:numId w:val="1"/>
        </w:numPr>
        <w:autoSpaceDE w:val="0"/>
        <w:autoSpaceDN w:val="0"/>
        <w:adjustRightInd w:val="0"/>
        <w:jc w:val="both"/>
        <w:rPr>
          <w:rFonts w:ascii="Verdana" w:hAnsi="Verdana"/>
          <w:color w:val="000000"/>
          <w:sz w:val="24"/>
        </w:rPr>
      </w:pPr>
      <w:r w:rsidRPr="006D5431">
        <w:rPr>
          <w:rFonts w:ascii="Verdana" w:hAnsi="Verdana"/>
          <w:color w:val="000000"/>
          <w:sz w:val="24"/>
        </w:rPr>
        <w:t xml:space="preserve">Compensation. If a Member fails to act within this reasonable period, it must “enter into negotiations with any party having invoked the dispute settlement procedures, with a view to developing mutually acceptable compensation.  </w:t>
      </w:r>
    </w:p>
    <w:p w:rsidR="008A38E5" w:rsidRPr="006D5431" w:rsidRDefault="008A38E5" w:rsidP="008A38E5">
      <w:pPr>
        <w:numPr>
          <w:ilvl w:val="1"/>
          <w:numId w:val="1"/>
        </w:numPr>
        <w:autoSpaceDE w:val="0"/>
        <w:autoSpaceDN w:val="0"/>
        <w:adjustRightInd w:val="0"/>
        <w:jc w:val="both"/>
        <w:rPr>
          <w:rFonts w:ascii="Verdana" w:hAnsi="Verdana"/>
          <w:color w:val="000000"/>
          <w:sz w:val="24"/>
        </w:rPr>
      </w:pPr>
      <w:r w:rsidRPr="006D5431">
        <w:rPr>
          <w:rFonts w:ascii="Verdana" w:hAnsi="Verdana"/>
          <w:color w:val="000000"/>
          <w:sz w:val="24"/>
        </w:rPr>
        <w:t>If no satisfactory compensation is agreed, the DSB may grant permission for retaliation – art. 22(2)</w:t>
      </w:r>
    </w:p>
    <w:p w:rsidR="008A38E5" w:rsidRPr="006D5431" w:rsidRDefault="008A38E5" w:rsidP="008A38E5">
      <w:pPr>
        <w:numPr>
          <w:ilvl w:val="1"/>
          <w:numId w:val="1"/>
        </w:numPr>
        <w:autoSpaceDE w:val="0"/>
        <w:autoSpaceDN w:val="0"/>
        <w:adjustRightInd w:val="0"/>
        <w:jc w:val="both"/>
        <w:rPr>
          <w:rFonts w:ascii="Verdana" w:hAnsi="Verdana"/>
          <w:sz w:val="24"/>
        </w:rPr>
      </w:pPr>
      <w:r w:rsidRPr="006D5431">
        <w:rPr>
          <w:rFonts w:ascii="Verdana" w:hAnsi="Verdana"/>
          <w:color w:val="000000"/>
          <w:sz w:val="24"/>
        </w:rPr>
        <w:t>Sanctions. S</w:t>
      </w:r>
      <w:r w:rsidRPr="006D5431">
        <w:rPr>
          <w:rFonts w:ascii="Verdana" w:hAnsi="Verdana"/>
          <w:sz w:val="24"/>
        </w:rPr>
        <w:t>anctions should be imposed in the same sector where possible, but there can in an appropriate case by “cross retaliation” in another sector, or under another WTO agreement (art, 22(3)(b),(c))</w:t>
      </w:r>
    </w:p>
    <w:p w:rsidR="008A38E5" w:rsidRPr="006D5431" w:rsidRDefault="008A38E5" w:rsidP="008A38E5">
      <w:pPr>
        <w:ind w:left="1440"/>
        <w:rPr>
          <w:rFonts w:ascii="Verdana" w:hAnsi="Verdana"/>
          <w:sz w:val="24"/>
        </w:rPr>
      </w:pPr>
    </w:p>
    <w:p w:rsidR="008A38E5" w:rsidRPr="006D5431" w:rsidRDefault="008A38E5" w:rsidP="008A38E5">
      <w:pPr>
        <w:rPr>
          <w:rFonts w:ascii="Verdana" w:hAnsi="Verdana"/>
          <w:sz w:val="24"/>
        </w:rPr>
      </w:pPr>
      <w:r w:rsidRPr="006D5431">
        <w:rPr>
          <w:rFonts w:ascii="Verdana" w:hAnsi="Verdana"/>
          <w:sz w:val="24"/>
        </w:rPr>
        <w:t>The principle is that if a country has done something wrong, it should swiftly correct its fault. If it continues to break an agreement, it should offer compensation or suffer a suitable penalty that has some bite.</w:t>
      </w:r>
    </w:p>
    <w:p w:rsidR="008A38E5" w:rsidRPr="006D5431" w:rsidRDefault="008A38E5" w:rsidP="008A38E5">
      <w:pPr>
        <w:rPr>
          <w:rFonts w:ascii="Verdana" w:hAnsi="Verdana"/>
          <w:sz w:val="24"/>
        </w:rPr>
      </w:pPr>
      <w:r w:rsidRPr="006D5431">
        <w:rPr>
          <w:rFonts w:ascii="Verdana" w:hAnsi="Verdana"/>
          <w:sz w:val="24"/>
        </w:rPr>
        <w:t xml:space="preserve">Even once the case has been decided, there is more to do before trade sanctions (the conventional form of penalty) are imposed. The priority at this stage is for the losing "defendant" to bring its policy into line with the ruling or recommendations. The dispute settlement agreement stresses that "prompt compliance with recommendations or rulings of the DSB [Dispute Settlement Body] is essential in order to ensure effective resolution of disputes to the benefit of all Members". </w:t>
      </w:r>
    </w:p>
    <w:p w:rsidR="008A38E5" w:rsidRPr="006D5431" w:rsidRDefault="008A38E5" w:rsidP="008A38E5">
      <w:pPr>
        <w:ind w:left="1440"/>
        <w:rPr>
          <w:rFonts w:ascii="Verdana" w:hAnsi="Verdana"/>
          <w:sz w:val="24"/>
        </w:rPr>
      </w:pPr>
    </w:p>
    <w:p w:rsidR="008A38E5" w:rsidRPr="006D5431" w:rsidRDefault="008A38E5" w:rsidP="008A38E5">
      <w:pPr>
        <w:jc w:val="both"/>
        <w:rPr>
          <w:rFonts w:ascii="Verdana" w:hAnsi="Verdana"/>
          <w:sz w:val="24"/>
        </w:rPr>
      </w:pPr>
      <w:r w:rsidRPr="006D5431">
        <w:rPr>
          <w:rFonts w:ascii="Verdana" w:hAnsi="Verdana"/>
          <w:sz w:val="24"/>
        </w:rPr>
        <w:t>If the country that is the target of the complaint loses, it must follow the recommendations of the panel report or the appeals report. It must state its intention to do so at a Dispute Settlement Body meeting held within 30 days of the report adoption. If complying with the recommendation immediately proves impractical, the member will be given a "reasonable period of time" to do so. If it fails to act within this period, it has to enter into negotiations with the complaining country (or countries) in order to determine mutually acceptable compensation — for instance, tariff reductions in areas of particular interest to the complaining side.</w:t>
      </w:r>
    </w:p>
    <w:p w:rsidR="008A38E5" w:rsidRPr="006D5431" w:rsidRDefault="008A38E5" w:rsidP="008A38E5">
      <w:pPr>
        <w:ind w:left="1440"/>
        <w:jc w:val="both"/>
        <w:rPr>
          <w:rFonts w:ascii="Verdana" w:hAnsi="Verdana"/>
          <w:sz w:val="24"/>
        </w:rPr>
      </w:pPr>
    </w:p>
    <w:p w:rsidR="008A38E5" w:rsidRPr="006D5431" w:rsidRDefault="008A38E5" w:rsidP="008A38E5">
      <w:pPr>
        <w:jc w:val="both"/>
        <w:rPr>
          <w:rFonts w:ascii="Verdana" w:hAnsi="Verdana"/>
          <w:sz w:val="24"/>
        </w:rPr>
      </w:pPr>
      <w:r w:rsidRPr="006D5431">
        <w:rPr>
          <w:rFonts w:ascii="Verdana" w:hAnsi="Verdana"/>
          <w:sz w:val="24"/>
        </w:rPr>
        <w:t>If after 20 days, no satisfactory compensation is agreed, the complaining side may ask the Dispute Settlement Body for permission to impose limited trade sanctions ("suspend concessions or obligations") against the other side. The Dispute Settlement Body should grant this authorization within 30 days of the expiry of the "reasonable period of time" unless there is a consensus against the request.</w:t>
      </w:r>
    </w:p>
    <w:p w:rsidR="008A38E5" w:rsidRPr="006D5431" w:rsidRDefault="008A38E5" w:rsidP="008A38E5">
      <w:pPr>
        <w:ind w:left="1440"/>
        <w:jc w:val="both"/>
        <w:rPr>
          <w:rFonts w:ascii="Verdana" w:hAnsi="Verdana"/>
          <w:sz w:val="24"/>
        </w:rPr>
      </w:pPr>
    </w:p>
    <w:p w:rsidR="008A38E5" w:rsidRPr="006D5431" w:rsidRDefault="008A38E5" w:rsidP="008A38E5">
      <w:pPr>
        <w:jc w:val="both"/>
        <w:rPr>
          <w:rFonts w:ascii="Verdana" w:hAnsi="Verdana"/>
          <w:sz w:val="24"/>
        </w:rPr>
      </w:pPr>
      <w:r w:rsidRPr="006D5431">
        <w:rPr>
          <w:rFonts w:ascii="Verdana" w:hAnsi="Verdana"/>
          <w:sz w:val="24"/>
        </w:rPr>
        <w:t xml:space="preserve">In principle, the sanctions should be imposed in the same sector as the dispute. If this is not practical or if it would not be effective, the sanctions </w:t>
      </w:r>
      <w:r w:rsidRPr="006D5431">
        <w:rPr>
          <w:rFonts w:ascii="Verdana" w:hAnsi="Verdana"/>
          <w:sz w:val="24"/>
        </w:rPr>
        <w:lastRenderedPageBreak/>
        <w:t>can be imposed in a different sector of the same agreement. In turn, if this is not effective or practicable and if the circumstances are serious enough, the action can be taken under another agreement. The objective is to minimize the chances of actions spilling over into unrelated sectors while at the same time allowing the actions to be effective.</w:t>
      </w:r>
    </w:p>
    <w:p w:rsidR="008A38E5" w:rsidRPr="006D5431" w:rsidRDefault="008A38E5" w:rsidP="008A38E5">
      <w:pPr>
        <w:ind w:left="1440"/>
        <w:jc w:val="both"/>
        <w:rPr>
          <w:rFonts w:ascii="Verdana" w:hAnsi="Verdana"/>
          <w:sz w:val="24"/>
        </w:rPr>
      </w:pPr>
    </w:p>
    <w:p w:rsidR="008A38E5" w:rsidRPr="006D5431" w:rsidRDefault="008A38E5" w:rsidP="008A38E5">
      <w:pPr>
        <w:rPr>
          <w:rFonts w:ascii="Verdana" w:hAnsi="Verdana"/>
          <w:sz w:val="24"/>
        </w:rPr>
      </w:pPr>
      <w:r w:rsidRPr="006D5431">
        <w:rPr>
          <w:rFonts w:ascii="Verdana" w:hAnsi="Verdana"/>
          <w:sz w:val="24"/>
        </w:rPr>
        <w:t>In any case, the Dispute Settlement Body monitors how adopted rulings are implemented. Any outstanding case remains on its agenda until the issue is resolved.</w:t>
      </w:r>
    </w:p>
    <w:p w:rsidR="008A38E5" w:rsidRPr="006D5431" w:rsidRDefault="008A38E5" w:rsidP="008A38E5">
      <w:pPr>
        <w:pStyle w:val="Heading3"/>
        <w:spacing w:line="240" w:lineRule="auto"/>
        <w:ind w:left="1440"/>
        <w:jc w:val="both"/>
        <w:rPr>
          <w:rFonts w:ascii="Verdana" w:hAnsi="Verdana"/>
          <w:sz w:val="24"/>
        </w:rPr>
      </w:pPr>
    </w:p>
    <w:p w:rsidR="008A38E5" w:rsidRPr="006D5431" w:rsidRDefault="008A38E5" w:rsidP="008A38E5">
      <w:pPr>
        <w:ind w:left="1440"/>
        <w:jc w:val="both"/>
        <w:rPr>
          <w:rFonts w:ascii="Verdana" w:hAnsi="Verdana"/>
          <w:sz w:val="24"/>
        </w:rPr>
      </w:pPr>
    </w:p>
    <w:p w:rsidR="008A38E5" w:rsidRPr="006D5431" w:rsidRDefault="008A38E5" w:rsidP="008A38E5">
      <w:pPr>
        <w:jc w:val="both"/>
        <w:rPr>
          <w:rFonts w:ascii="Verdana" w:hAnsi="Verdana"/>
          <w:sz w:val="24"/>
        </w:rPr>
      </w:pPr>
      <w:r w:rsidRPr="006D5431">
        <w:rPr>
          <w:rFonts w:ascii="Verdana" w:hAnsi="Verdana"/>
          <w:sz w:val="24"/>
        </w:rPr>
        <w:t>Web</w:t>
      </w:r>
    </w:p>
    <w:p w:rsidR="008A38E5" w:rsidRPr="006D5431" w:rsidRDefault="008E6E10" w:rsidP="008A38E5">
      <w:pPr>
        <w:ind w:left="1440"/>
        <w:jc w:val="both"/>
        <w:rPr>
          <w:rFonts w:ascii="Verdana" w:hAnsi="Verdana"/>
          <w:sz w:val="24"/>
        </w:rPr>
      </w:pPr>
      <w:r w:rsidRPr="006D5431">
        <w:rPr>
          <w:rFonts w:ascii="Verdana" w:hAnsi="Verdana"/>
          <w:sz w:val="24"/>
        </w:rPr>
        <w:fldChar w:fldCharType="begin"/>
      </w:r>
      <w:r w:rsidR="008A38E5" w:rsidRPr="006D5431">
        <w:rPr>
          <w:rFonts w:ascii="Verdana" w:hAnsi="Verdana"/>
          <w:sz w:val="24"/>
        </w:rPr>
        <w:instrText xml:space="preserve"> HYPERLINK " http://www.wto.org/english/tratop_e/dispu_e/dispu_e.htm#intro </w:instrText>
      </w:r>
    </w:p>
    <w:p w:rsidR="008A38E5" w:rsidRPr="006D5431" w:rsidRDefault="008A38E5" w:rsidP="008A38E5">
      <w:pPr>
        <w:jc w:val="both"/>
        <w:rPr>
          <w:rStyle w:val="Hyperlink"/>
          <w:rFonts w:ascii="Verdana" w:hAnsi="Verdana"/>
          <w:sz w:val="24"/>
        </w:rPr>
      </w:pPr>
      <w:r w:rsidRPr="006D5431">
        <w:rPr>
          <w:rFonts w:ascii="Verdana" w:hAnsi="Verdana"/>
          <w:sz w:val="24"/>
        </w:rPr>
        <w:instrText xml:space="preserve">" </w:instrText>
      </w:r>
      <w:r w:rsidR="008E6E10" w:rsidRPr="006D5431">
        <w:rPr>
          <w:rFonts w:ascii="Verdana" w:hAnsi="Verdana"/>
          <w:sz w:val="24"/>
        </w:rPr>
        <w:fldChar w:fldCharType="separate"/>
      </w:r>
      <w:r w:rsidRPr="006D5431">
        <w:rPr>
          <w:rStyle w:val="Hyperlink"/>
          <w:rFonts w:ascii="Verdana" w:hAnsi="Verdana"/>
          <w:sz w:val="24"/>
        </w:rPr>
        <w:t xml:space="preserve">http://www.wto.org/english/tratop_e/dispu_e/dispu_e.htm#intro </w:t>
      </w:r>
    </w:p>
    <w:p w:rsidR="008A38E5" w:rsidRPr="006D5431" w:rsidRDefault="008E6E10" w:rsidP="008A38E5">
      <w:pPr>
        <w:ind w:left="1440"/>
        <w:jc w:val="both"/>
        <w:rPr>
          <w:rFonts w:ascii="Verdana" w:hAnsi="Verdana"/>
          <w:sz w:val="24"/>
        </w:rPr>
      </w:pPr>
      <w:r w:rsidRPr="006D5431">
        <w:rPr>
          <w:rFonts w:ascii="Verdana" w:hAnsi="Verdana"/>
          <w:sz w:val="24"/>
        </w:rPr>
        <w:fldChar w:fldCharType="end"/>
      </w:r>
    </w:p>
    <w:p w:rsidR="008A38E5" w:rsidRPr="006D5431" w:rsidRDefault="008A38E5" w:rsidP="008A38E5">
      <w:pPr>
        <w:ind w:left="1440"/>
        <w:jc w:val="both"/>
        <w:rPr>
          <w:rFonts w:ascii="Verdana" w:hAnsi="Verdana"/>
          <w:sz w:val="24"/>
        </w:rPr>
      </w:pPr>
    </w:p>
    <w:p w:rsidR="008A38E5" w:rsidRDefault="008A38E5" w:rsidP="008A38E5">
      <w:pPr>
        <w:jc w:val="both"/>
        <w:rPr>
          <w:rFonts w:ascii="Verdana" w:hAnsi="Verdana"/>
          <w:b/>
          <w:sz w:val="28"/>
          <w:szCs w:val="28"/>
        </w:rPr>
      </w:pPr>
    </w:p>
    <w:p w:rsidR="008A38E5" w:rsidRDefault="008A38E5" w:rsidP="008A38E5">
      <w:pPr>
        <w:jc w:val="both"/>
        <w:rPr>
          <w:rFonts w:ascii="Verdana" w:hAnsi="Verdana"/>
          <w:b/>
          <w:sz w:val="28"/>
          <w:szCs w:val="28"/>
        </w:rPr>
      </w:pPr>
    </w:p>
    <w:p w:rsidR="008A38E5" w:rsidRDefault="008A38E5" w:rsidP="008A38E5">
      <w:pPr>
        <w:jc w:val="both"/>
        <w:rPr>
          <w:rFonts w:ascii="Verdana" w:hAnsi="Verdana"/>
          <w:b/>
          <w:sz w:val="28"/>
          <w:szCs w:val="28"/>
        </w:rPr>
      </w:pPr>
    </w:p>
    <w:p w:rsidR="008A38E5" w:rsidRDefault="008A38E5" w:rsidP="008A38E5">
      <w:pPr>
        <w:jc w:val="both"/>
        <w:rPr>
          <w:rFonts w:ascii="Verdana" w:hAnsi="Verdana"/>
          <w:b/>
          <w:sz w:val="28"/>
          <w:szCs w:val="28"/>
        </w:rPr>
      </w:pPr>
    </w:p>
    <w:p w:rsidR="008A38E5" w:rsidRDefault="008A38E5" w:rsidP="008A38E5">
      <w:pPr>
        <w:jc w:val="both"/>
        <w:rPr>
          <w:rFonts w:ascii="Verdana" w:hAnsi="Verdana"/>
          <w:b/>
          <w:sz w:val="28"/>
          <w:szCs w:val="28"/>
        </w:rPr>
      </w:pPr>
    </w:p>
    <w:p w:rsidR="008A38E5" w:rsidRDefault="008A38E5" w:rsidP="008A38E5">
      <w:pPr>
        <w:jc w:val="both"/>
        <w:rPr>
          <w:rFonts w:ascii="Verdana" w:hAnsi="Verdana"/>
          <w:b/>
          <w:sz w:val="28"/>
          <w:szCs w:val="28"/>
        </w:rPr>
      </w:pPr>
    </w:p>
    <w:p w:rsidR="005825C6" w:rsidRDefault="005825C6"/>
    <w:sectPr w:rsidR="005825C6" w:rsidSect="005825C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B2512"/>
    <w:multiLevelType w:val="hybridMultilevel"/>
    <w:tmpl w:val="2DE04EA6"/>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4DC6C36"/>
    <w:multiLevelType w:val="hybridMultilevel"/>
    <w:tmpl w:val="51B26D3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ADB6E70"/>
    <w:multiLevelType w:val="hybridMultilevel"/>
    <w:tmpl w:val="834C8AC4"/>
    <w:lvl w:ilvl="0" w:tplc="0419000F">
      <w:start w:val="1"/>
      <w:numFmt w:val="decimal"/>
      <w:lvlText w:val="%1."/>
      <w:lvlJc w:val="left"/>
      <w:pPr>
        <w:tabs>
          <w:tab w:val="num" w:pos="720"/>
        </w:tabs>
        <w:ind w:left="720" w:hanging="360"/>
      </w:pPr>
    </w:lvl>
    <w:lvl w:ilvl="1" w:tplc="29144124">
      <w:start w:val="1"/>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A647A37"/>
    <w:multiLevelType w:val="hybridMultilevel"/>
    <w:tmpl w:val="4B6CF64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53CB678F"/>
    <w:multiLevelType w:val="hybridMultilevel"/>
    <w:tmpl w:val="474A38B4"/>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5">
    <w:nsid w:val="65134663"/>
    <w:multiLevelType w:val="hybridMultilevel"/>
    <w:tmpl w:val="6FAA2B88"/>
    <w:lvl w:ilvl="0" w:tplc="7E7CFF70">
      <w:start w:val="1"/>
      <w:numFmt w:val="decimal"/>
      <w:lvlText w:val="%1."/>
      <w:lvlJc w:val="left"/>
      <w:pPr>
        <w:tabs>
          <w:tab w:val="num" w:pos="780"/>
        </w:tabs>
        <w:ind w:left="780" w:hanging="420"/>
      </w:pPr>
      <w:rPr>
        <w:rFonts w:hint="default"/>
      </w:rPr>
    </w:lvl>
    <w:lvl w:ilvl="1" w:tplc="04190019">
      <w:start w:val="1"/>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6DA7F19"/>
    <w:multiLevelType w:val="hybridMultilevel"/>
    <w:tmpl w:val="8EF60D18"/>
    <w:lvl w:ilvl="0" w:tplc="04190001">
      <w:start w:val="1"/>
      <w:numFmt w:val="bullet"/>
      <w:lvlText w:val=""/>
      <w:lvlJc w:val="left"/>
      <w:pPr>
        <w:tabs>
          <w:tab w:val="num" w:pos="1800"/>
        </w:tabs>
        <w:ind w:left="1800" w:hanging="360"/>
      </w:pPr>
      <w:rPr>
        <w:rFonts w:ascii="Symbol" w:hAnsi="Symbol" w:hint="default"/>
      </w:rPr>
    </w:lvl>
    <w:lvl w:ilvl="1" w:tplc="04190003">
      <w:start w:val="1"/>
      <w:numFmt w:val="bullet"/>
      <w:lvlText w:val="o"/>
      <w:lvlJc w:val="left"/>
      <w:pPr>
        <w:tabs>
          <w:tab w:val="num" w:pos="2520"/>
        </w:tabs>
        <w:ind w:left="2520" w:hanging="360"/>
      </w:pPr>
      <w:rPr>
        <w:rFonts w:ascii="Courier New" w:hAnsi="Courier New" w:cs="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7">
    <w:nsid w:val="68DE504D"/>
    <w:multiLevelType w:val="hybridMultilevel"/>
    <w:tmpl w:val="9E8E51E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3"/>
  </w:num>
  <w:num w:numId="4">
    <w:abstractNumId w:val="6"/>
  </w:num>
  <w:num w:numId="5">
    <w:abstractNumId w:val="4"/>
  </w:num>
  <w:num w:numId="6">
    <w:abstractNumId w:val="5"/>
  </w:num>
  <w:num w:numId="7">
    <w:abstractNumId w:val="1"/>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A38E5"/>
    <w:rsid w:val="001D6216"/>
    <w:rsid w:val="005825C6"/>
    <w:rsid w:val="008A38E5"/>
    <w:rsid w:val="008E6E10"/>
    <w:rsid w:val="00EF54B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38E5"/>
    <w:pPr>
      <w:spacing w:after="0" w:line="240" w:lineRule="auto"/>
    </w:pPr>
    <w:rPr>
      <w:rFonts w:ascii="Arial" w:eastAsia="Times New Roman" w:hAnsi="Arial" w:cs="Arial"/>
      <w:szCs w:val="24"/>
    </w:rPr>
  </w:style>
  <w:style w:type="paragraph" w:styleId="Heading3">
    <w:name w:val="heading 3"/>
    <w:basedOn w:val="Normal"/>
    <w:next w:val="Normal"/>
    <w:link w:val="Heading3Char"/>
    <w:qFormat/>
    <w:rsid w:val="008A38E5"/>
    <w:pPr>
      <w:keepNext/>
      <w:spacing w:line="320" w:lineRule="exact"/>
      <w:outlineLvl w:val="2"/>
    </w:pPr>
    <w:rPr>
      <w:b/>
      <w:bCs/>
      <w:u w:val="single"/>
    </w:rPr>
  </w:style>
  <w:style w:type="paragraph" w:styleId="Heading6">
    <w:name w:val="heading 6"/>
    <w:basedOn w:val="Normal"/>
    <w:next w:val="Normal"/>
    <w:link w:val="Heading6Char"/>
    <w:qFormat/>
    <w:rsid w:val="008A38E5"/>
    <w:pPr>
      <w:keepNext/>
      <w:spacing w:line="320" w:lineRule="exact"/>
      <w:outlineLvl w:val="5"/>
    </w:pPr>
    <w:rPr>
      <w:b/>
      <w:bCs/>
      <w:color w:val="00000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8A38E5"/>
    <w:rPr>
      <w:rFonts w:ascii="Arial" w:eastAsia="Times New Roman" w:hAnsi="Arial" w:cs="Arial"/>
      <w:b/>
      <w:bCs/>
      <w:szCs w:val="24"/>
      <w:u w:val="single"/>
    </w:rPr>
  </w:style>
  <w:style w:type="character" w:customStyle="1" w:styleId="Heading6Char">
    <w:name w:val="Heading 6 Char"/>
    <w:basedOn w:val="DefaultParagraphFont"/>
    <w:link w:val="Heading6"/>
    <w:rsid w:val="008A38E5"/>
    <w:rPr>
      <w:rFonts w:ascii="Arial" w:eastAsia="Times New Roman" w:hAnsi="Arial" w:cs="Arial"/>
      <w:b/>
      <w:bCs/>
      <w:color w:val="000000"/>
      <w:szCs w:val="24"/>
      <w:u w:val="single"/>
    </w:rPr>
  </w:style>
  <w:style w:type="paragraph" w:customStyle="1" w:styleId="paranormaltext">
    <w:name w:val="paranormaltext"/>
    <w:basedOn w:val="Normal"/>
    <w:rsid w:val="008A38E5"/>
    <w:pPr>
      <w:spacing w:before="100" w:beforeAutospacing="1" w:after="100" w:afterAutospacing="1"/>
    </w:pPr>
    <w:rPr>
      <w:rFonts w:ascii="Trebuchet MS" w:eastAsia="Arial Unicode MS" w:hAnsi="Trebuchet MS" w:cs="Arial Unicode MS"/>
      <w:sz w:val="20"/>
      <w:szCs w:val="20"/>
    </w:rPr>
  </w:style>
  <w:style w:type="character" w:styleId="Hyperlink">
    <w:name w:val="Hyperlink"/>
    <w:rsid w:val="008A38E5"/>
    <w:rPr>
      <w:color w:val="0000FF"/>
      <w:u w:val="single"/>
    </w:rPr>
  </w:style>
  <w:style w:type="character" w:customStyle="1" w:styleId="highlighttext1">
    <w:name w:val="highlighttext1"/>
    <w:rsid w:val="008A38E5"/>
    <w:rPr>
      <w:rFonts w:ascii="Trebuchet MS" w:hAnsi="Trebuchet MS" w:hint="default"/>
      <w:b w:val="0"/>
      <w:bCs w:val="0"/>
      <w:i w:val="0"/>
      <w:iCs w:val="0"/>
      <w:sz w:val="20"/>
      <w:szCs w:val="20"/>
    </w:rPr>
  </w:style>
  <w:style w:type="paragraph" w:customStyle="1" w:styleId="parasmalltext">
    <w:name w:val="parasmalltext"/>
    <w:basedOn w:val="Normal"/>
    <w:rsid w:val="008A38E5"/>
    <w:pPr>
      <w:spacing w:before="100" w:beforeAutospacing="1" w:after="100" w:afterAutospacing="1"/>
    </w:pPr>
    <w:rPr>
      <w:rFonts w:ascii="Times New Roman" w:hAnsi="Times New Roman" w:cs="Times New Roman"/>
      <w:sz w:val="16"/>
      <w:szCs w:val="16"/>
      <w:lang w:eastAsia="en-GB"/>
    </w:rPr>
  </w:style>
  <w:style w:type="paragraph" w:customStyle="1" w:styleId="parasmallboldtext">
    <w:name w:val="parasmallboldtext"/>
    <w:basedOn w:val="Normal"/>
    <w:rsid w:val="008A38E5"/>
    <w:pPr>
      <w:spacing w:before="100" w:beforeAutospacing="1" w:after="100" w:afterAutospacing="1"/>
    </w:pPr>
    <w:rPr>
      <w:rFonts w:ascii="Times New Roman" w:hAnsi="Times New Roman" w:cs="Times New Roman"/>
      <w:b/>
      <w:bCs/>
      <w:sz w:val="16"/>
      <w:szCs w:val="16"/>
      <w:lang w:eastAsia="en-GB"/>
    </w:rPr>
  </w:style>
  <w:style w:type="character" w:customStyle="1" w:styleId="paraboldcolourtext1">
    <w:name w:val="paraboldcolourtext1"/>
    <w:rsid w:val="008A38E5"/>
    <w:rPr>
      <w:b/>
      <w:bCs/>
      <w:i w:val="0"/>
      <w:iCs w:val="0"/>
      <w:color w:val="800000"/>
      <w:sz w:val="20"/>
      <w:szCs w:val="20"/>
    </w:rPr>
  </w:style>
  <w:style w:type="paragraph" w:customStyle="1" w:styleId="paraboldcolourtext">
    <w:name w:val="paraboldcolourtext"/>
    <w:basedOn w:val="Normal"/>
    <w:rsid w:val="008A38E5"/>
    <w:pPr>
      <w:spacing w:before="100" w:beforeAutospacing="1" w:after="100" w:afterAutospacing="1"/>
    </w:pPr>
    <w:rPr>
      <w:rFonts w:ascii="Times New Roman" w:hAnsi="Times New Roman" w:cs="Times New Roman"/>
      <w:b/>
      <w:bCs/>
      <w:color w:val="0080C0"/>
      <w:sz w:val="20"/>
      <w:szCs w:val="20"/>
      <w:lang w:eastAsia="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javascript:openAPopup('popup_dsu_e.htm','links',450,300,1)" TargetMode="External"/><Relationship Id="rId13" Type="http://schemas.openxmlformats.org/officeDocument/2006/relationships/hyperlink" Target="javascript:openAWindow('../../../docs_e/legal_e/04-wto_e.htm" TargetMode="External"/><Relationship Id="rId18" Type="http://schemas.openxmlformats.org/officeDocument/2006/relationships/hyperlink" Target="http://www.wto.org/english/tratop_e/dispu_e/disp_settlement_cbt_e/c1s3p2_e.htm" TargetMode="External"/><Relationship Id="rId3" Type="http://schemas.openxmlformats.org/officeDocument/2006/relationships/settings" Target="settings.xml"/><Relationship Id="rId21" Type="http://schemas.openxmlformats.org/officeDocument/2006/relationships/hyperlink" Target="http://www.wto.org/english/tratop_e/dispu_e/disp_settlement_cbt_e/c1s3p2_e.htm" TargetMode="External"/><Relationship Id="rId7" Type="http://schemas.openxmlformats.org/officeDocument/2006/relationships/hyperlink" Target="javascript:openAPopup('popup_wto_e.htm','links',450,300,1)" TargetMode="External"/><Relationship Id="rId12" Type="http://schemas.openxmlformats.org/officeDocument/2006/relationships/hyperlink" Target="javascript:openAPopup('popup_wto_member_e.htm','links',450,300,1)" TargetMode="External"/><Relationship Id="rId17" Type="http://schemas.openxmlformats.org/officeDocument/2006/relationships/hyperlink" Target="http://www.wto.org/english/tratop_e/dispu_e/disp_settlement_cbt_e/c1s3p2_e.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wto.org/english/tratop_e/dispu_e/disp_settlement_cbt_e/c1s3p2_e.htm" TargetMode="External"/><Relationship Id="rId20" Type="http://schemas.openxmlformats.org/officeDocument/2006/relationships/hyperlink" Target="http://www.wto.org/english/tratop_e/dispu_e/disp_settlement_cbt_e/c1s3p2_e.htm" TargetMode="External"/><Relationship Id="rId1" Type="http://schemas.openxmlformats.org/officeDocument/2006/relationships/numbering" Target="numbering.xml"/><Relationship Id="rId6" Type="http://schemas.openxmlformats.org/officeDocument/2006/relationships/hyperlink" Target="javascript:openAWindow('../../../docs_e/legal_e/04-wto_e.htm" TargetMode="External"/><Relationship Id="rId11" Type="http://schemas.openxmlformats.org/officeDocument/2006/relationships/hyperlink" Target="javascript:openAWindow('../../../docs_e/legal_e/04-wto_e.htm" TargetMode="External"/><Relationship Id="rId24" Type="http://schemas.openxmlformats.org/officeDocument/2006/relationships/fontTable" Target="fontTable.xml"/><Relationship Id="rId5" Type="http://schemas.openxmlformats.org/officeDocument/2006/relationships/hyperlink" Target="javascript:openAPopup('popup_wto_agreement_e.htm','links',450,300,1)" TargetMode="External"/><Relationship Id="rId15" Type="http://schemas.openxmlformats.org/officeDocument/2006/relationships/hyperlink" Target="javascript:openAWindow('../../../docs_e/legal_e/28-dsu_e.htm" TargetMode="External"/><Relationship Id="rId23" Type="http://schemas.openxmlformats.org/officeDocument/2006/relationships/hyperlink" Target="http://www.wto.org/english/tratop_e/dispu_e/disp_settlement_cbt_e/a1s1p1_e.htm" TargetMode="External"/><Relationship Id="rId10" Type="http://schemas.openxmlformats.org/officeDocument/2006/relationships/hyperlink" Target="javascript:openAWindow('../../../docs_e/legal_e/28-dsu_e.htm" TargetMode="External"/><Relationship Id="rId19" Type="http://schemas.openxmlformats.org/officeDocument/2006/relationships/hyperlink" Target="javascript:openAWindow('../../../docs_e/legal_e/28-dsu_e.htm" TargetMode="External"/><Relationship Id="rId4" Type="http://schemas.openxmlformats.org/officeDocument/2006/relationships/webSettings" Target="webSettings.xml"/><Relationship Id="rId9" Type="http://schemas.openxmlformats.org/officeDocument/2006/relationships/hyperlink" Target="javascript:openAWindow('../../../docs_e/legal_e/28-dsu_e.htm" TargetMode="External"/><Relationship Id="rId14" Type="http://schemas.openxmlformats.org/officeDocument/2006/relationships/hyperlink" Target="javascript:openAWindow('../../../docs_e/legal_e/28-dsu_e.htm" TargetMode="External"/><Relationship Id="rId22" Type="http://schemas.openxmlformats.org/officeDocument/2006/relationships/hyperlink" Target="http://www.wto.org/english/tratop_e/dispu_e/disp_settlement_cbt_e/a1s1p1_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3158</Words>
  <Characters>18005</Characters>
  <Application>Microsoft Office Word</Application>
  <DocSecurity>0</DocSecurity>
  <Lines>150</Lines>
  <Paragraphs>42</Paragraphs>
  <ScaleCrop>false</ScaleCrop>
  <Company>Leeds Metropolitan University</Company>
  <LinksUpToDate>false</LinksUpToDate>
  <CharactersWithSpaces>21121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pavel</dc:creator>
  <cp:lastModifiedBy>pavel</cp:lastModifiedBy>
  <cp:revision>2</cp:revision>
  <dcterms:created xsi:type="dcterms:W3CDTF">2012-05-15T16:44:00Z</dcterms:created>
  <dcterms:modified xsi:type="dcterms:W3CDTF">2012-09-14T23:32:00Z</dcterms:modified>
</cp:coreProperties>
</file>